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C155E3" w:rsidRDefault="0081741E">
      <w:pPr>
        <w:pStyle w:val="Title"/>
        <w:rPr>
          <w:rFonts w:hint="cs"/>
          <w:color w:val="000000" w:themeColor="text1"/>
        </w:rPr>
      </w:pPr>
    </w:p>
    <w:p w:rsidR="0081741E" w:rsidRPr="00C155E3" w:rsidRDefault="0081741E">
      <w:pPr>
        <w:pStyle w:val="Title"/>
        <w:rPr>
          <w:color w:val="000000" w:themeColor="text1"/>
          <w:rtl/>
        </w:rPr>
      </w:pPr>
    </w:p>
    <w:p w:rsidR="0081741E" w:rsidRPr="00C155E3" w:rsidRDefault="0081741E">
      <w:pPr>
        <w:pStyle w:val="Title"/>
        <w:rPr>
          <w:color w:val="000000" w:themeColor="text1"/>
          <w:rtl/>
        </w:rPr>
      </w:pPr>
    </w:p>
    <w:p w:rsidR="0081741E" w:rsidRPr="00C155E3" w:rsidRDefault="0081741E">
      <w:pPr>
        <w:pStyle w:val="Title"/>
        <w:rPr>
          <w:color w:val="000000" w:themeColor="text1"/>
          <w:rtl/>
        </w:rPr>
      </w:pPr>
    </w:p>
    <w:p w:rsidR="0081741E" w:rsidRPr="00C155E3" w:rsidRDefault="0081741E">
      <w:pPr>
        <w:pStyle w:val="Title"/>
        <w:rPr>
          <w:color w:val="000000" w:themeColor="text1"/>
          <w:rtl/>
        </w:rPr>
      </w:pPr>
    </w:p>
    <w:p w:rsidR="0081741E" w:rsidRPr="00C155E3" w:rsidRDefault="0081741E">
      <w:pPr>
        <w:pStyle w:val="Title"/>
        <w:rPr>
          <w:color w:val="000000" w:themeColor="text1"/>
          <w:rtl/>
        </w:rPr>
      </w:pPr>
    </w:p>
    <w:p w:rsidR="0081741E" w:rsidRPr="00C155E3" w:rsidRDefault="0081741E">
      <w:pPr>
        <w:pStyle w:val="Title"/>
        <w:rPr>
          <w:color w:val="000000" w:themeColor="text1"/>
          <w:rtl/>
        </w:rPr>
      </w:pPr>
    </w:p>
    <w:p w:rsidR="0081741E" w:rsidRPr="00C155E3" w:rsidRDefault="0081741E">
      <w:pPr>
        <w:pStyle w:val="Title"/>
        <w:rPr>
          <w:color w:val="000000" w:themeColor="text1"/>
          <w:rtl/>
        </w:rPr>
      </w:pPr>
    </w:p>
    <w:p w:rsidR="0081741E" w:rsidRPr="00C155E3" w:rsidRDefault="0081741E">
      <w:pPr>
        <w:pStyle w:val="Title"/>
        <w:rPr>
          <w:color w:val="000000" w:themeColor="text1"/>
          <w:rtl/>
        </w:rPr>
      </w:pPr>
    </w:p>
    <w:p w:rsidR="0081741E" w:rsidRPr="00C155E3" w:rsidRDefault="0081741E">
      <w:pPr>
        <w:pStyle w:val="Title"/>
        <w:rPr>
          <w:color w:val="000000" w:themeColor="text1"/>
        </w:rPr>
      </w:pPr>
    </w:p>
    <w:p w:rsidR="0081741E" w:rsidRPr="00C155E3" w:rsidRDefault="0081741E">
      <w:pPr>
        <w:pStyle w:val="Title"/>
        <w:rPr>
          <w:color w:val="000000" w:themeColor="text1"/>
        </w:rPr>
      </w:pPr>
    </w:p>
    <w:p w:rsidR="0081741E" w:rsidRPr="00C155E3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C155E3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C155E3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C155E3" w:rsidRDefault="0081741E" w:rsidP="001A60AB">
      <w:pPr>
        <w:pStyle w:val="Title"/>
        <w:rPr>
          <w:b w:val="0"/>
          <w:bCs w:val="0"/>
          <w:color w:val="000000" w:themeColor="text1"/>
          <w:sz w:val="24"/>
          <w:szCs w:val="24"/>
          <w:rtl/>
        </w:rPr>
      </w:pPr>
      <w:r w:rsidRPr="00C155E3">
        <w:rPr>
          <w:rFonts w:hint="eastAsia"/>
          <w:b w:val="0"/>
          <w:bCs w:val="0"/>
          <w:color w:val="000000" w:themeColor="text1"/>
          <w:sz w:val="24"/>
          <w:szCs w:val="24"/>
          <w:rtl/>
        </w:rPr>
        <w:t>الفصل</w:t>
      </w:r>
      <w:r w:rsidRPr="00C155E3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1A60AB" w:rsidRPr="00C155E3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السادس</w:t>
      </w:r>
      <w:r w:rsidR="006416CA" w:rsidRPr="00C155E3">
        <w:rPr>
          <w:rFonts w:hint="cs"/>
          <w:b w:val="0"/>
          <w:bCs w:val="0"/>
          <w:color w:val="000000" w:themeColor="text1"/>
          <w:sz w:val="24"/>
          <w:szCs w:val="24"/>
          <w:rtl/>
        </w:rPr>
        <w:t xml:space="preserve"> عشر</w:t>
      </w:r>
    </w:p>
    <w:p w:rsidR="0081741E" w:rsidRPr="00C155E3" w:rsidRDefault="0081741E">
      <w:pPr>
        <w:pStyle w:val="Heading7"/>
        <w:jc w:val="left"/>
        <w:rPr>
          <w:color w:val="000000" w:themeColor="text1"/>
          <w:sz w:val="32"/>
          <w:rtl/>
        </w:rPr>
      </w:pPr>
    </w:p>
    <w:p w:rsidR="0081741E" w:rsidRPr="00C155E3" w:rsidRDefault="006416CA">
      <w:pPr>
        <w:pStyle w:val="Heading7"/>
        <w:rPr>
          <w:color w:val="000000" w:themeColor="text1"/>
          <w:sz w:val="28"/>
          <w:szCs w:val="28"/>
          <w:rtl/>
        </w:rPr>
      </w:pPr>
      <w:r w:rsidRPr="00C155E3">
        <w:rPr>
          <w:rFonts w:hint="cs"/>
          <w:color w:val="000000" w:themeColor="text1"/>
          <w:sz w:val="28"/>
          <w:szCs w:val="28"/>
          <w:rtl/>
        </w:rPr>
        <w:t>الأسعار والارقام القياسية</w:t>
      </w:r>
    </w:p>
    <w:p w:rsidR="0081741E" w:rsidRPr="00C155E3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C155E3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C155E3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C155E3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C155E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C155E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C155E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C155E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C155E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C155E3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C155E3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C155E3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C155E3" w:rsidRDefault="0081741E">
      <w:pPr>
        <w:rPr>
          <w:rFonts w:cs="Times New Roman"/>
          <w:color w:val="000000" w:themeColor="text1"/>
          <w:rtl/>
        </w:rPr>
      </w:pPr>
    </w:p>
    <w:p w:rsidR="0081741E" w:rsidRPr="00C155E3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C155E3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C155E3" w:rsidRDefault="0081741E">
      <w:pPr>
        <w:rPr>
          <w:rFonts w:cs="Times New Roman"/>
          <w:color w:val="000000" w:themeColor="text1"/>
          <w:rtl/>
        </w:rPr>
      </w:pPr>
    </w:p>
    <w:p w:rsidR="0081741E" w:rsidRPr="00C155E3" w:rsidRDefault="0081741E">
      <w:pPr>
        <w:rPr>
          <w:rFonts w:cs="Times New Roman"/>
          <w:color w:val="000000" w:themeColor="text1"/>
          <w:rtl/>
        </w:rPr>
      </w:pPr>
    </w:p>
    <w:p w:rsidR="00EA3A68" w:rsidRPr="00C155E3" w:rsidRDefault="00D776A5" w:rsidP="00EA3A68">
      <w:pPr>
        <w:ind w:left="-1"/>
        <w:jc w:val="lowKashida"/>
        <w:rPr>
          <w:rFonts w:cs="Simplified Arabic"/>
          <w:b/>
          <w:bCs/>
          <w:color w:val="000000" w:themeColor="text1"/>
          <w:rtl/>
        </w:rPr>
      </w:pPr>
      <w:r w:rsidRPr="00C155E3">
        <w:rPr>
          <w:rFonts w:cs="Simplified Arabic"/>
          <w:b/>
          <w:bCs/>
          <w:color w:val="000000" w:themeColor="text1"/>
          <w:rtl/>
        </w:rPr>
        <w:br w:type="page"/>
      </w:r>
      <w:r w:rsidR="00EA3A68" w:rsidRPr="00C155E3">
        <w:rPr>
          <w:rFonts w:cs="Simplified Arabic"/>
          <w:b/>
          <w:bCs/>
          <w:color w:val="000000" w:themeColor="text1"/>
          <w:rtl/>
        </w:rPr>
        <w:lastRenderedPageBreak/>
        <w:t>حركة أسعار المستهلك</w:t>
      </w:r>
    </w:p>
    <w:p w:rsidR="00EA3A68" w:rsidRPr="00C155E3" w:rsidRDefault="00EA3A68" w:rsidP="00EA3A68">
      <w:pPr>
        <w:ind w:left="83"/>
        <w:jc w:val="lowKashida"/>
        <w:rPr>
          <w:rFonts w:cs="Simplified Arabic"/>
          <w:color w:val="000000" w:themeColor="text1"/>
          <w:rtl/>
        </w:rPr>
      </w:pPr>
      <w:r w:rsidRPr="00C155E3">
        <w:rPr>
          <w:rFonts w:cs="Simplified Arabic"/>
          <w:color w:val="000000" w:themeColor="text1"/>
          <w:rtl/>
        </w:rPr>
        <w:t xml:space="preserve">سجل </w:t>
      </w:r>
      <w:r w:rsidRPr="00C155E3">
        <w:rPr>
          <w:rFonts w:cs="Simplified Arabic" w:hint="cs"/>
          <w:color w:val="000000" w:themeColor="text1"/>
          <w:rtl/>
        </w:rPr>
        <w:t>الرقم القياسي لأسعار المستهلك</w:t>
      </w:r>
      <w:r w:rsidRPr="00C155E3">
        <w:rPr>
          <w:rFonts w:cs="Simplified Arabic"/>
          <w:color w:val="000000" w:themeColor="text1"/>
          <w:rtl/>
        </w:rPr>
        <w:t xml:space="preserve"> في</w:t>
      </w:r>
      <w:r w:rsidRPr="00C155E3">
        <w:rPr>
          <w:rFonts w:cs="Simplified Arabic" w:hint="cs"/>
          <w:color w:val="000000" w:themeColor="text1"/>
          <w:rtl/>
        </w:rPr>
        <w:t xml:space="preserve"> محافظة </w:t>
      </w:r>
      <w:r w:rsidRPr="00C155E3">
        <w:rPr>
          <w:rFonts w:cs="Simplified Arabic"/>
          <w:color w:val="000000" w:themeColor="text1"/>
          <w:rtl/>
        </w:rPr>
        <w:t>القدس</w:t>
      </w:r>
      <w:r w:rsidRPr="00C155E3">
        <w:rPr>
          <w:rFonts w:cs="Simplified Arabic" w:hint="cs"/>
          <w:color w:val="000000" w:themeColor="text1"/>
          <w:rtl/>
        </w:rPr>
        <w:t xml:space="preserve"> منطقة </w:t>
      </w:r>
      <w:r w:rsidRPr="00C155E3">
        <w:rPr>
          <w:rFonts w:cs="Simplified Arabic"/>
          <w:color w:val="000000" w:themeColor="text1"/>
        </w:rPr>
        <w:t>(J1)</w:t>
      </w:r>
      <w:r w:rsidRPr="00C155E3">
        <w:rPr>
          <w:rFonts w:cs="Simplified Arabic" w:hint="cs"/>
          <w:color w:val="000000" w:themeColor="text1"/>
          <w:rtl/>
        </w:rPr>
        <w:t xml:space="preserve"> عام </w:t>
      </w:r>
      <w:r>
        <w:rPr>
          <w:rFonts w:cs="Simplified Arabic" w:hint="cs"/>
          <w:color w:val="000000" w:themeColor="text1"/>
          <w:rtl/>
        </w:rPr>
        <w:t>2015</w:t>
      </w:r>
      <w:r w:rsidRPr="00C155E3">
        <w:rPr>
          <w:rFonts w:cs="Simplified Arabic" w:hint="cs"/>
          <w:color w:val="000000" w:themeColor="text1"/>
          <w:rtl/>
        </w:rPr>
        <w:t xml:space="preserve"> ارتفاعاً بنسبة </w:t>
      </w:r>
      <w:r>
        <w:rPr>
          <w:rFonts w:cs="Simplified Arabic" w:hint="cs"/>
          <w:color w:val="000000" w:themeColor="text1"/>
          <w:rtl/>
        </w:rPr>
        <w:t>0.33</w:t>
      </w:r>
      <w:r w:rsidRPr="00C155E3">
        <w:rPr>
          <w:rFonts w:cs="Simplified Arabic" w:hint="cs"/>
          <w:color w:val="000000" w:themeColor="text1"/>
          <w:rtl/>
        </w:rPr>
        <w:t xml:space="preserve">% مقارنة بالعام </w:t>
      </w:r>
      <w:r>
        <w:rPr>
          <w:rFonts w:cs="Simplified Arabic" w:hint="cs"/>
          <w:color w:val="000000" w:themeColor="text1"/>
          <w:rtl/>
        </w:rPr>
        <w:t>2014</w:t>
      </w:r>
      <w:r w:rsidRPr="00C155E3">
        <w:rPr>
          <w:rFonts w:cs="Simplified Arabic" w:hint="cs"/>
          <w:color w:val="000000" w:themeColor="text1"/>
          <w:rtl/>
        </w:rPr>
        <w:t xml:space="preserve">، </w:t>
      </w:r>
      <w:r>
        <w:rPr>
          <w:rFonts w:cs="Simplified Arabic" w:hint="cs"/>
          <w:color w:val="000000" w:themeColor="text1"/>
          <w:rtl/>
        </w:rPr>
        <w:t>كما</w:t>
      </w:r>
      <w:r w:rsidRPr="00C155E3">
        <w:rPr>
          <w:rFonts w:cs="Simplified Arabic" w:hint="cs"/>
          <w:color w:val="000000" w:themeColor="text1"/>
          <w:rtl/>
        </w:rPr>
        <w:t xml:space="preserve"> إرتفع في عام </w:t>
      </w:r>
      <w:r>
        <w:rPr>
          <w:rFonts w:cs="Simplified Arabic" w:hint="cs"/>
          <w:color w:val="000000" w:themeColor="text1"/>
          <w:rtl/>
        </w:rPr>
        <w:t>2014</w:t>
      </w:r>
      <w:r w:rsidRPr="00C155E3">
        <w:rPr>
          <w:rFonts w:cs="Simplified Arabic" w:hint="cs"/>
          <w:color w:val="000000" w:themeColor="text1"/>
          <w:rtl/>
        </w:rPr>
        <w:t xml:space="preserve"> بنسبة </w:t>
      </w:r>
      <w:r>
        <w:rPr>
          <w:rFonts w:cs="Simplified Arabic" w:hint="cs"/>
          <w:color w:val="000000" w:themeColor="text1"/>
          <w:rtl/>
        </w:rPr>
        <w:t>3.84</w:t>
      </w:r>
      <w:r w:rsidRPr="00C155E3">
        <w:rPr>
          <w:rFonts w:cs="Simplified Arabic" w:hint="cs"/>
          <w:color w:val="000000" w:themeColor="text1"/>
          <w:rtl/>
        </w:rPr>
        <w:t xml:space="preserve">% مقارنة بالعام </w:t>
      </w:r>
      <w:r>
        <w:rPr>
          <w:rFonts w:cs="Simplified Arabic" w:hint="cs"/>
          <w:color w:val="000000" w:themeColor="text1"/>
          <w:rtl/>
        </w:rPr>
        <w:t>2013</w:t>
      </w:r>
      <w:r w:rsidRPr="00C155E3">
        <w:rPr>
          <w:rFonts w:cs="Simplified Arabic" w:hint="cs"/>
          <w:color w:val="000000" w:themeColor="text1"/>
          <w:rtl/>
        </w:rPr>
        <w:t xml:space="preserve">. </w:t>
      </w:r>
      <w:r w:rsidRPr="00C155E3">
        <w:rPr>
          <w:rFonts w:cs="Simplified Arabic"/>
          <w:color w:val="000000" w:themeColor="text1"/>
          <w:rtl/>
        </w:rPr>
        <w:t xml:space="preserve"> </w:t>
      </w:r>
      <w:r w:rsidRPr="00C155E3">
        <w:rPr>
          <w:rFonts w:cs="Simplified Arabic" w:hint="cs"/>
          <w:color w:val="000000" w:themeColor="text1"/>
          <w:rtl/>
        </w:rPr>
        <w:t xml:space="preserve">وكان قد سجل ارتفاعاً في عام </w:t>
      </w:r>
      <w:r>
        <w:rPr>
          <w:rFonts w:hint="cs"/>
          <w:color w:val="000000" w:themeColor="text1"/>
          <w:rtl/>
        </w:rPr>
        <w:t>2013</w:t>
      </w:r>
      <w:r w:rsidRPr="00C155E3">
        <w:rPr>
          <w:rFonts w:cs="Simplified Arabic" w:hint="cs"/>
          <w:color w:val="000000" w:themeColor="text1"/>
          <w:rtl/>
        </w:rPr>
        <w:t xml:space="preserve"> بنسبة </w:t>
      </w:r>
      <w:r>
        <w:rPr>
          <w:rFonts w:cs="Simplified Arabic" w:hint="cs"/>
          <w:color w:val="000000" w:themeColor="text1"/>
          <w:rtl/>
        </w:rPr>
        <w:t>1.81</w:t>
      </w:r>
      <w:r w:rsidRPr="00C155E3">
        <w:rPr>
          <w:rFonts w:cs="Simplified Arabic" w:hint="cs"/>
          <w:color w:val="000000" w:themeColor="text1"/>
          <w:rtl/>
        </w:rPr>
        <w:t xml:space="preserve">% مقارنة بالعالم </w:t>
      </w:r>
      <w:r>
        <w:rPr>
          <w:rFonts w:hint="cs"/>
          <w:color w:val="000000" w:themeColor="text1"/>
          <w:rtl/>
        </w:rPr>
        <w:t>2012</w:t>
      </w:r>
      <w:r w:rsidRPr="00C155E3">
        <w:rPr>
          <w:rFonts w:cs="Simplified Arabic" w:hint="cs"/>
          <w:color w:val="000000" w:themeColor="text1"/>
          <w:rtl/>
        </w:rPr>
        <w:t xml:space="preserve">. </w:t>
      </w:r>
    </w:p>
    <w:p w:rsidR="00EA3A68" w:rsidRPr="00C155E3" w:rsidRDefault="00EA3A68" w:rsidP="00EA3A68">
      <w:pPr>
        <w:ind w:left="83"/>
        <w:jc w:val="lowKashida"/>
        <w:rPr>
          <w:rFonts w:cs="Simplified Arabic"/>
          <w:color w:val="000000" w:themeColor="text1"/>
          <w:rtl/>
        </w:rPr>
      </w:pPr>
    </w:p>
    <w:p w:rsidR="00EA3A68" w:rsidRPr="003F4BB5" w:rsidRDefault="00EA3A68" w:rsidP="00EA3A68">
      <w:pPr>
        <w:ind w:left="6"/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3F4BB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الأرقام القياسية لأسعار المستهلك في محافظة القدس منطقة (</w:t>
      </w:r>
      <w:r w:rsidRPr="003F4BB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J1</w:t>
      </w:r>
      <w:r w:rsidRPr="003F4BB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) حسب الشهر، </w:t>
      </w:r>
      <w:r w:rsidRPr="003F4BB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2015</w:t>
      </w:r>
    </w:p>
    <w:p w:rsidR="00EA3A68" w:rsidRPr="003F4BB5" w:rsidRDefault="00EA3A68" w:rsidP="00EA3A68">
      <w:pPr>
        <w:bidi w:val="0"/>
        <w:ind w:right="6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3F4BB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Consumer Price Index Numbers in Jerusalem Governorate Area (J1) by Month, </w:t>
      </w:r>
      <w:r w:rsidRPr="003F4BB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2015</w:t>
      </w:r>
    </w:p>
    <w:p w:rsidR="00EA3A68" w:rsidRPr="00C155E3" w:rsidRDefault="00EA3A68" w:rsidP="00EA3A68">
      <w:pPr>
        <w:bidi w:val="0"/>
        <w:ind w:right="6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p w:rsidR="00EA3A68" w:rsidRPr="00C155E3" w:rsidRDefault="00EA3A68" w:rsidP="00EA3A68">
      <w:pPr>
        <w:bidi w:val="0"/>
        <w:ind w:right="6"/>
        <w:jc w:val="center"/>
        <w:rPr>
          <w:rFonts w:ascii="Arial" w:hAnsi="Arial" w:cs="Arial"/>
          <w:b/>
          <w:bCs/>
          <w:color w:val="000000" w:themeColor="text1"/>
          <w:sz w:val="12"/>
          <w:szCs w:val="12"/>
        </w:rPr>
      </w:pPr>
    </w:p>
    <w:p w:rsidR="00EA3A68" w:rsidRPr="00C155E3" w:rsidRDefault="00EA3A68" w:rsidP="00EA3A68">
      <w:pPr>
        <w:ind w:left="-283" w:right="-567"/>
        <w:rPr>
          <w:rFonts w:cs="Simplified Arabic"/>
          <w:color w:val="000000" w:themeColor="text1"/>
          <w:sz w:val="14"/>
          <w:szCs w:val="14"/>
          <w:rtl/>
        </w:rPr>
      </w:pPr>
      <w:r w:rsidRPr="00C155E3">
        <w:rPr>
          <w:rFonts w:cs="Simplified Arabic" w:hint="cs"/>
          <w:color w:val="000000" w:themeColor="text1"/>
          <w:sz w:val="14"/>
          <w:szCs w:val="14"/>
          <w:rtl/>
        </w:rPr>
        <w:t xml:space="preserve">   سنة الأساس 2010= 100                                                                                                                           </w:t>
      </w:r>
      <w:r w:rsidRPr="00C155E3">
        <w:rPr>
          <w:rFonts w:ascii="Arial" w:hAnsi="Arial" w:cs="Arial"/>
          <w:color w:val="000000" w:themeColor="text1"/>
          <w:sz w:val="14"/>
          <w:szCs w:val="14"/>
        </w:rPr>
        <w:t>Base  Year 2010=100</w:t>
      </w:r>
      <w:r w:rsidRPr="00C155E3">
        <w:rPr>
          <w:rFonts w:cs="Simplified Arabic" w:hint="cs"/>
          <w:color w:val="000000" w:themeColor="text1"/>
          <w:sz w:val="14"/>
          <w:szCs w:val="14"/>
          <w:rtl/>
        </w:rPr>
        <w:t xml:space="preserve">                                         </w:t>
      </w:r>
    </w:p>
    <w:p w:rsidR="00EA3A68" w:rsidRPr="00C155E3" w:rsidRDefault="00EA3A68" w:rsidP="00EA3A68">
      <w:pPr>
        <w:ind w:left="-284"/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155E3">
        <w:rPr>
          <w:rFonts w:ascii="Simplified Arabic" w:hAnsi="Simplified Arabic" w:cs="Simplified Arabic"/>
          <w:b/>
          <w:bCs/>
          <w:color w:val="000000" w:themeColor="text1"/>
          <w:bdr w:val="single" w:sz="4" w:space="0" w:color="auto"/>
        </w:rPr>
        <w:drawing>
          <wp:inline distT="0" distB="0" distL="0" distR="0">
            <wp:extent cx="5162550" cy="3009900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Pr="00C155E3">
        <w:rPr>
          <w:rFonts w:ascii="Simplified Arabic" w:hAnsi="Simplified Arabic" w:cs="Simplified Arabic"/>
          <w:b/>
          <w:bCs/>
          <w:snapToGrid w:val="0"/>
          <w:color w:val="000000" w:themeColor="text1"/>
          <w:rtl/>
        </w:rPr>
        <w:br w:type="page"/>
      </w:r>
      <w:r w:rsidRPr="00C155E3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lastRenderedPageBreak/>
        <w:t xml:space="preserve"> الأرقام القياسية ونسبة التغير السنوية </w:t>
      </w:r>
      <w:r w:rsidRPr="00C155E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لأسعار </w:t>
      </w:r>
      <w:r w:rsidRPr="00C155E3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المستهلك حسب أقسام الإنفاق الرئيسية في محافظة </w:t>
      </w:r>
      <w:r w:rsidRPr="00C155E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القدس  </w:t>
      </w:r>
    </w:p>
    <w:p w:rsidR="00EA3A68" w:rsidRPr="00C155E3" w:rsidRDefault="00EA3A68" w:rsidP="00EA3A68">
      <w:pPr>
        <w:ind w:left="-284"/>
        <w:jc w:val="center"/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</w:pPr>
      <w:r w:rsidRPr="00C155E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             منطقة (</w:t>
      </w:r>
      <w:r w:rsidRPr="00C155E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J1</w:t>
      </w:r>
      <w:r w:rsidRPr="00C155E3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)، </w:t>
      </w:r>
      <w:r w:rsidRPr="00C155E3">
        <w:rPr>
          <w:rFonts w:ascii="Simplified Arabic" w:hAnsi="Simplified Arabic" w:cs="Simplified Arabic" w:hint="cs"/>
          <w:b/>
          <w:bCs/>
          <w:snapToGrid w:val="0"/>
          <w:color w:val="000000" w:themeColor="text1"/>
          <w:sz w:val="18"/>
          <w:szCs w:val="18"/>
          <w:rtl/>
        </w:rPr>
        <w:t>201</w:t>
      </w:r>
      <w:r>
        <w:rPr>
          <w:rFonts w:ascii="Simplified Arabic" w:hAnsi="Simplified Arabic" w:cs="Simplified Arabic" w:hint="cs"/>
          <w:b/>
          <w:bCs/>
          <w:snapToGrid w:val="0"/>
          <w:color w:val="000000" w:themeColor="text1"/>
          <w:sz w:val="18"/>
          <w:szCs w:val="18"/>
          <w:rtl/>
        </w:rPr>
        <w:t>4</w:t>
      </w:r>
      <w:r w:rsidRPr="00C155E3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, </w:t>
      </w:r>
      <w:r w:rsidRPr="00C155E3">
        <w:rPr>
          <w:rFonts w:ascii="Simplified Arabic" w:hAnsi="Simplified Arabic" w:cs="Simplified Arabic" w:hint="cs"/>
          <w:b/>
          <w:bCs/>
          <w:snapToGrid w:val="0"/>
          <w:color w:val="000000" w:themeColor="text1"/>
          <w:sz w:val="18"/>
          <w:szCs w:val="18"/>
          <w:rtl/>
        </w:rPr>
        <w:t>201</w:t>
      </w:r>
      <w:r>
        <w:rPr>
          <w:rFonts w:ascii="Simplified Arabic" w:hAnsi="Simplified Arabic" w:cs="Simplified Arabic" w:hint="cs"/>
          <w:b/>
          <w:bCs/>
          <w:snapToGrid w:val="0"/>
          <w:color w:val="000000" w:themeColor="text1"/>
          <w:sz w:val="18"/>
          <w:szCs w:val="18"/>
          <w:rtl/>
        </w:rPr>
        <w:t>5</w:t>
      </w:r>
    </w:p>
    <w:p w:rsidR="00EA3A68" w:rsidRPr="00C155E3" w:rsidRDefault="00EA3A68" w:rsidP="00EA3A68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</w:pPr>
      <w:r w:rsidRPr="00C155E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Yearly Consumer Price Index Numbers and Percent Change by Major Groups in Jerusalem Governorate Area (J1), </w:t>
      </w:r>
      <w:r w:rsidRPr="00C155E3">
        <w:rPr>
          <w:rFonts w:ascii="Arial" w:hAnsi="Arial" w:cs="Arial" w:hint="cs"/>
          <w:b/>
          <w:bCs/>
          <w:snapToGrid w:val="0"/>
          <w:color w:val="000000" w:themeColor="text1"/>
          <w:sz w:val="18"/>
          <w:szCs w:val="18"/>
          <w:rtl/>
        </w:rPr>
        <w:t>201</w:t>
      </w:r>
      <w:r>
        <w:rPr>
          <w:rFonts w:ascii="Arial" w:hAnsi="Arial" w:cs="Arial" w:hint="cs"/>
          <w:b/>
          <w:bCs/>
          <w:snapToGrid w:val="0"/>
          <w:color w:val="000000" w:themeColor="text1"/>
          <w:sz w:val="18"/>
          <w:szCs w:val="18"/>
          <w:rtl/>
        </w:rPr>
        <w:t>4</w:t>
      </w:r>
      <w:r w:rsidRPr="00C155E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, </w:t>
      </w:r>
      <w:r w:rsidRPr="00C155E3">
        <w:rPr>
          <w:rFonts w:ascii="Arial" w:hAnsi="Arial" w:cs="Arial" w:hint="cs"/>
          <w:b/>
          <w:bCs/>
          <w:snapToGrid w:val="0"/>
          <w:color w:val="000000" w:themeColor="text1"/>
          <w:sz w:val="18"/>
          <w:szCs w:val="18"/>
          <w:rtl/>
        </w:rPr>
        <w:t>201</w:t>
      </w:r>
      <w:r>
        <w:rPr>
          <w:rFonts w:ascii="Arial" w:hAnsi="Arial" w:cs="Arial" w:hint="cs"/>
          <w:b/>
          <w:bCs/>
          <w:snapToGrid w:val="0"/>
          <w:color w:val="000000" w:themeColor="text1"/>
          <w:sz w:val="18"/>
          <w:szCs w:val="18"/>
          <w:rtl/>
        </w:rPr>
        <w:t>5</w:t>
      </w:r>
    </w:p>
    <w:p w:rsidR="00EA3A68" w:rsidRPr="00C155E3" w:rsidRDefault="00EA3A68" w:rsidP="00EA3A68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2"/>
          <w:szCs w:val="12"/>
        </w:rPr>
      </w:pPr>
    </w:p>
    <w:tbl>
      <w:tblPr>
        <w:tblW w:w="7938" w:type="dxa"/>
        <w:jc w:val="center"/>
        <w:tblLayout w:type="fixed"/>
        <w:tblLook w:val="0000"/>
      </w:tblPr>
      <w:tblGrid>
        <w:gridCol w:w="34"/>
        <w:gridCol w:w="3085"/>
        <w:gridCol w:w="1134"/>
        <w:gridCol w:w="43"/>
        <w:gridCol w:w="666"/>
        <w:gridCol w:w="850"/>
        <w:gridCol w:w="2126"/>
      </w:tblGrid>
      <w:tr w:rsidR="00EA3A68" w:rsidRPr="00C155E3" w:rsidTr="00CE4503">
        <w:trPr>
          <w:gridBefore w:val="1"/>
          <w:wBefore w:w="34" w:type="dxa"/>
          <w:trHeight w:val="312"/>
          <w:jc w:val="center"/>
        </w:trPr>
        <w:tc>
          <w:tcPr>
            <w:tcW w:w="4219" w:type="dxa"/>
            <w:gridSpan w:val="2"/>
            <w:vAlign w:val="center"/>
          </w:tcPr>
          <w:p w:rsidR="00EA3A68" w:rsidRPr="00C155E3" w:rsidRDefault="00EA3A68" w:rsidP="00CE4503">
            <w:pPr>
              <w:ind w:right="83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Base Year 2010= 100</w:t>
            </w:r>
          </w:p>
        </w:tc>
        <w:tc>
          <w:tcPr>
            <w:tcW w:w="3685" w:type="dxa"/>
            <w:gridSpan w:val="4"/>
            <w:vAlign w:val="center"/>
          </w:tcPr>
          <w:p w:rsidR="00EA3A68" w:rsidRPr="00C155E3" w:rsidRDefault="00EA3A68" w:rsidP="00CE4503">
            <w:pPr>
              <w:ind w:right="83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سنة الأساس</w:t>
            </w:r>
            <w:r w:rsidRPr="00C155E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2010=100  </w:t>
            </w:r>
          </w:p>
        </w:tc>
      </w:tr>
      <w:tr w:rsidR="00EA3A68" w:rsidRPr="00C155E3" w:rsidTr="00CE4503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A3A68" w:rsidRPr="00C155E3" w:rsidRDefault="00EA3A68" w:rsidP="00CE4503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Major Groups of Expenditure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A3A68" w:rsidRDefault="00EA3A68" w:rsidP="00CE4503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نسبة التغير %</w:t>
            </w:r>
          </w:p>
          <w:p w:rsidR="00EA3A68" w:rsidRPr="00C155E3" w:rsidRDefault="00EA3A68" w:rsidP="00CE4503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Percent Change %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A3A68" w:rsidRPr="001B4BDA" w:rsidRDefault="00EA3A68" w:rsidP="00CE4503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1B4BD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A3A68" w:rsidRPr="00C155E3" w:rsidRDefault="00EA3A68" w:rsidP="00CE4503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A3A68" w:rsidRPr="00C155E3" w:rsidRDefault="00EA3A68" w:rsidP="00CE4503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أقسام الإنفاق الرئيسية</w:t>
            </w:r>
          </w:p>
        </w:tc>
      </w:tr>
      <w:tr w:rsidR="00EA3A68" w:rsidRPr="00C155E3" w:rsidTr="00CE4503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EA3A68" w:rsidRPr="00C155E3" w:rsidRDefault="00EA3A6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bookmarkStart w:id="0" w:name="_Hlk225139509"/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Food and soft drinks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2.41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</w:tcBorders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112.21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109.57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A3A68" w:rsidRPr="00C155E3" w:rsidRDefault="00EA3A6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المواد الغذائية والمشروبات المرطبة</w:t>
            </w:r>
          </w:p>
        </w:tc>
      </w:tr>
      <w:tr w:rsidR="00EA3A68" w:rsidRPr="00C155E3" w:rsidTr="00CE4503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EA3A68" w:rsidRPr="00C155E3" w:rsidRDefault="00EA3A6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Alcoholic beverages and tobacco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6.04</w:t>
            </w:r>
          </w:p>
        </w:tc>
        <w:tc>
          <w:tcPr>
            <w:tcW w:w="709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165.40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155.98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A3A68" w:rsidRPr="00C155E3" w:rsidRDefault="00EA3A6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المشروبات الكحولية والتبغ</w:t>
            </w:r>
          </w:p>
        </w:tc>
      </w:tr>
      <w:tr w:rsidR="00EA3A68" w:rsidRPr="00C155E3" w:rsidTr="00CE4503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EA3A68" w:rsidRPr="00C155E3" w:rsidRDefault="00EA3A6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Textiles, clothing and footwear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2.25</w:t>
            </w:r>
          </w:p>
        </w:tc>
        <w:tc>
          <w:tcPr>
            <w:tcW w:w="709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123.41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120.70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A3A68" w:rsidRPr="00C155E3" w:rsidRDefault="00EA3A6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الأقمشة والملابس والأحذية</w:t>
            </w:r>
          </w:p>
        </w:tc>
      </w:tr>
      <w:tr w:rsidR="00EA3A68" w:rsidRPr="00C155E3" w:rsidTr="00CE4503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EA3A68" w:rsidRPr="00C155E3" w:rsidRDefault="00EA3A6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Housing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-4.17</w:t>
            </w:r>
          </w:p>
        </w:tc>
        <w:tc>
          <w:tcPr>
            <w:tcW w:w="709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115.75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120.79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A3A68" w:rsidRPr="00C155E3" w:rsidRDefault="00EA3A6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المسكن ومستلزماته</w:t>
            </w:r>
          </w:p>
        </w:tc>
      </w:tr>
      <w:tr w:rsidR="00EA3A68" w:rsidRPr="00C155E3" w:rsidTr="00CE4503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EA3A68" w:rsidRPr="00C155E3" w:rsidRDefault="00EA3A6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Furniture and household goods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6.87</w:t>
            </w:r>
          </w:p>
        </w:tc>
        <w:tc>
          <w:tcPr>
            <w:tcW w:w="709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120.64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112.88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A3A68" w:rsidRPr="00C155E3" w:rsidRDefault="00EA3A6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الأثاث والمفروشات والسلع المنزلية</w:t>
            </w:r>
          </w:p>
        </w:tc>
      </w:tr>
      <w:tr w:rsidR="00EA3A68" w:rsidRPr="00C155E3" w:rsidTr="00CE4503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EA3A68" w:rsidRPr="00C155E3" w:rsidRDefault="00EA3A6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Medical care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7.69</w:t>
            </w:r>
          </w:p>
        </w:tc>
        <w:tc>
          <w:tcPr>
            <w:tcW w:w="709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122.41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113.67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A3A68" w:rsidRPr="00C155E3" w:rsidRDefault="00EA3A6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الخدمات الطبية</w:t>
            </w:r>
          </w:p>
        </w:tc>
      </w:tr>
      <w:tr w:rsidR="00EA3A68" w:rsidRPr="00C155E3" w:rsidTr="00CE4503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EA3A68" w:rsidRPr="00C155E3" w:rsidRDefault="00EA3A6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Transportation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-6.50</w:t>
            </w:r>
          </w:p>
        </w:tc>
        <w:tc>
          <w:tcPr>
            <w:tcW w:w="709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112.00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119.79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A3A68" w:rsidRPr="00C155E3" w:rsidRDefault="00EA3A6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النقل والمواصلات</w:t>
            </w:r>
          </w:p>
        </w:tc>
      </w:tr>
      <w:tr w:rsidR="00EA3A68" w:rsidRPr="00C155E3" w:rsidTr="00CE4503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EA3A68" w:rsidRPr="00C155E3" w:rsidRDefault="00EA3A6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Communications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-1.12</w:t>
            </w:r>
          </w:p>
        </w:tc>
        <w:tc>
          <w:tcPr>
            <w:tcW w:w="709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99.80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100.93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A3A68" w:rsidRPr="00C155E3" w:rsidRDefault="00EA3A6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الاتصالات</w:t>
            </w:r>
          </w:p>
        </w:tc>
      </w:tr>
      <w:tr w:rsidR="00EA3A68" w:rsidRPr="00C155E3" w:rsidTr="00CE4503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EA3A68" w:rsidRPr="00C155E3" w:rsidRDefault="00EA3A6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Recreational, cultural goods &amp; services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0.88</w:t>
            </w:r>
          </w:p>
        </w:tc>
        <w:tc>
          <w:tcPr>
            <w:tcW w:w="709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105.82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104.90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A3A68" w:rsidRPr="00C155E3" w:rsidRDefault="00EA3A6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السلع والخدمات الترفيهية والثقافية</w:t>
            </w:r>
          </w:p>
        </w:tc>
      </w:tr>
      <w:tr w:rsidR="00EA3A68" w:rsidRPr="00C155E3" w:rsidTr="00CE4503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EA3A68" w:rsidRPr="00C155E3" w:rsidRDefault="00EA3A6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Education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0.35</w:t>
            </w:r>
          </w:p>
        </w:tc>
        <w:tc>
          <w:tcPr>
            <w:tcW w:w="709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117.24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116.84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A3A68" w:rsidRPr="00C155E3" w:rsidRDefault="00EA3A6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خدمات التعليم</w:t>
            </w:r>
          </w:p>
        </w:tc>
      </w:tr>
      <w:tr w:rsidR="00EA3A68" w:rsidRPr="00C155E3" w:rsidTr="00CE4503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EA3A68" w:rsidRPr="00C155E3" w:rsidRDefault="00EA3A6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Restaurants and cafes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2.54</w:t>
            </w:r>
          </w:p>
        </w:tc>
        <w:tc>
          <w:tcPr>
            <w:tcW w:w="709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110.83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108.09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A3A68" w:rsidRPr="00C155E3" w:rsidRDefault="00EA3A6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خدمات المطاعم والمقاهي والفنادق</w:t>
            </w:r>
          </w:p>
        </w:tc>
      </w:tr>
      <w:tr w:rsidR="00EA3A68" w:rsidRPr="00C155E3" w:rsidTr="00CE4503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EA3A68" w:rsidRPr="00C155E3" w:rsidRDefault="00EA3A6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Miscellaneous goods and services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1.85</w:t>
            </w:r>
          </w:p>
        </w:tc>
        <w:tc>
          <w:tcPr>
            <w:tcW w:w="709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102.77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BDA">
              <w:rPr>
                <w:rFonts w:ascii="Arial" w:hAnsi="Arial" w:cs="Arial"/>
                <w:sz w:val="16"/>
                <w:szCs w:val="16"/>
              </w:rPr>
              <w:t>100.91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A3A68" w:rsidRPr="00C155E3" w:rsidRDefault="00EA3A6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</w:t>
            </w: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سلع و</w:t>
            </w:r>
            <w:r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</w:t>
            </w: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خدمات </w:t>
            </w:r>
            <w:r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</w:t>
            </w: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متنوعة</w:t>
            </w:r>
          </w:p>
        </w:tc>
      </w:tr>
      <w:tr w:rsidR="00EA3A68" w:rsidRPr="00C155E3" w:rsidTr="00CE4503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EA3A68" w:rsidRPr="00C155E3" w:rsidRDefault="00EA3A68" w:rsidP="00CE4503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All Items of consumer price index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4BDA">
              <w:rPr>
                <w:rFonts w:ascii="Arial" w:hAnsi="Arial" w:cs="Arial"/>
                <w:b/>
                <w:bCs/>
                <w:sz w:val="16"/>
                <w:szCs w:val="16"/>
              </w:rPr>
              <w:t>0.33</w:t>
            </w:r>
          </w:p>
        </w:tc>
        <w:tc>
          <w:tcPr>
            <w:tcW w:w="709" w:type="dxa"/>
            <w:gridSpan w:val="2"/>
            <w:tcBorders>
              <w:left w:val="nil"/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4BDA">
              <w:rPr>
                <w:rFonts w:ascii="Arial" w:hAnsi="Arial" w:cs="Arial"/>
                <w:b/>
                <w:bCs/>
                <w:sz w:val="16"/>
                <w:szCs w:val="16"/>
              </w:rPr>
              <w:t>114.02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EA3A68" w:rsidRPr="001B4BDA" w:rsidRDefault="00EA3A68" w:rsidP="00CE450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4BDA">
              <w:rPr>
                <w:rFonts w:ascii="Arial" w:hAnsi="Arial" w:cs="Arial"/>
                <w:b/>
                <w:bCs/>
                <w:sz w:val="16"/>
                <w:szCs w:val="16"/>
              </w:rPr>
              <w:t>113.65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EA3A68" w:rsidRPr="00C155E3" w:rsidRDefault="00EA3A68" w:rsidP="00CE4503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الرقم القياسي العام لأسعار المستهلك</w:t>
            </w:r>
          </w:p>
        </w:tc>
      </w:tr>
      <w:bookmarkEnd w:id="0"/>
      <w:tr w:rsidR="00EA3A68" w:rsidRPr="00C155E3" w:rsidTr="00CE4503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4296" w:type="dxa"/>
            <w:gridSpan w:val="4"/>
            <w:tcBorders>
              <w:top w:val="single" w:sz="4" w:space="0" w:color="auto"/>
            </w:tcBorders>
            <w:vAlign w:val="center"/>
          </w:tcPr>
          <w:p w:rsidR="00EA3A68" w:rsidRPr="00C155E3" w:rsidRDefault="00EA3A68" w:rsidP="00CE4503">
            <w:pPr>
              <w:tabs>
                <w:tab w:val="left" w:pos="-284"/>
                <w:tab w:val="left" w:pos="7513"/>
                <w:tab w:val="right" w:pos="8505"/>
              </w:tabs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642" w:type="dxa"/>
            <w:gridSpan w:val="3"/>
            <w:tcBorders>
              <w:top w:val="single" w:sz="4" w:space="0" w:color="auto"/>
            </w:tcBorders>
            <w:vAlign w:val="center"/>
          </w:tcPr>
          <w:p w:rsidR="00EA3A68" w:rsidRPr="00C155E3" w:rsidRDefault="00EA3A68" w:rsidP="00CE4503">
            <w:pPr>
              <w:tabs>
                <w:tab w:val="left" w:pos="4820"/>
                <w:tab w:val="left" w:pos="5245"/>
                <w:tab w:val="left" w:pos="7230"/>
                <w:tab w:val="left" w:pos="7513"/>
              </w:tabs>
              <w:ind w:left="113" w:hanging="113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</w:p>
        </w:tc>
      </w:tr>
    </w:tbl>
    <w:p w:rsidR="00EA3A68" w:rsidRPr="00C155E3" w:rsidRDefault="00EA3A68" w:rsidP="00EA3A68">
      <w:pPr>
        <w:bidi w:val="0"/>
        <w:jc w:val="center"/>
        <w:rPr>
          <w:color w:val="000000" w:themeColor="text1"/>
        </w:rPr>
      </w:pPr>
    </w:p>
    <w:p w:rsidR="00EA3A68" w:rsidRPr="00C155E3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C155E3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C155E3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C155E3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C155E3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C155E3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C155E3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C155E3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C155E3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C155E3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C155E3" w:rsidRDefault="00EA3A68" w:rsidP="00EA3A68">
      <w:pPr>
        <w:bidi w:val="0"/>
        <w:rPr>
          <w:rFonts w:ascii="Arial" w:hAnsi="Arial" w:cs="Arial"/>
          <w:b/>
          <w:bCs/>
          <w:color w:val="000000" w:themeColor="text1"/>
        </w:rPr>
      </w:pPr>
      <w:r w:rsidRPr="00C155E3">
        <w:rPr>
          <w:rFonts w:ascii="Arial" w:hAnsi="Arial" w:cs="Arial"/>
          <w:b/>
          <w:bCs/>
          <w:color w:val="000000" w:themeColor="text1"/>
        </w:rPr>
        <w:br w:type="page"/>
      </w:r>
    </w:p>
    <w:p w:rsidR="00EA3A68" w:rsidRPr="00C155E3" w:rsidRDefault="00EA3A68" w:rsidP="00EA3A68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C155E3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lastRenderedPageBreak/>
        <w:t>الأوزان المستخدمة في احتساب الرقم القياسي لأسعار المستهلك</w:t>
      </w:r>
      <w:r w:rsidRPr="00C155E3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C155E3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حسب</w:t>
      </w:r>
      <w:r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أقسام الإنفاق الرئيسية و</w:t>
      </w:r>
      <w:r w:rsidRPr="00C155E3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المنطقة</w:t>
      </w:r>
      <w:r w:rsidRPr="00C155E3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، 2010 </w:t>
      </w:r>
    </w:p>
    <w:p w:rsidR="00EA3A68" w:rsidRPr="00C155E3" w:rsidRDefault="00EA3A68" w:rsidP="00EA3A68">
      <w:pPr>
        <w:pStyle w:val="BodyTextIndent"/>
        <w:ind w:left="0" w:firstLine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C155E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Relative Weights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Used in Calculating</w:t>
      </w:r>
      <w:r w:rsidRPr="00C155E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Consumer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Price Index Numbers by</w:t>
      </w:r>
      <w:r w:rsidRPr="00C155E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Major Groups of Expenditure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and</w:t>
      </w:r>
      <w:r w:rsidRPr="00C155E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Region, </w:t>
      </w:r>
      <w:r w:rsidRPr="00C155E3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2010</w:t>
      </w:r>
    </w:p>
    <w:p w:rsidR="00EA3A68" w:rsidRPr="00C155E3" w:rsidRDefault="00EA3A68" w:rsidP="00EA3A68">
      <w:pPr>
        <w:pStyle w:val="BodyTextIndent"/>
        <w:ind w:left="0" w:firstLine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761" w:type="dxa"/>
        <w:jc w:val="center"/>
        <w:tblInd w:w="-3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179"/>
        <w:gridCol w:w="780"/>
        <w:gridCol w:w="921"/>
        <w:gridCol w:w="921"/>
        <w:gridCol w:w="922"/>
        <w:gridCol w:w="2038"/>
      </w:tblGrid>
      <w:tr w:rsidR="00EA3A68" w:rsidRPr="00C155E3" w:rsidTr="00CE4503">
        <w:trPr>
          <w:trHeight w:val="312"/>
          <w:jc w:val="center"/>
        </w:trPr>
        <w:tc>
          <w:tcPr>
            <w:tcW w:w="2179" w:type="dxa"/>
            <w:tcBorders>
              <w:bottom w:val="single" w:sz="4" w:space="0" w:color="auto"/>
            </w:tcBorders>
            <w:vAlign w:val="center"/>
          </w:tcPr>
          <w:p w:rsidR="00EA3A68" w:rsidRPr="00C155E3" w:rsidRDefault="00EA3A68" w:rsidP="00CE4503">
            <w:pPr>
              <w:pStyle w:val="Heading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C155E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أقسام الإنفاق الرئيسية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3A68" w:rsidRPr="00C155E3" w:rsidRDefault="00EA3A68" w:rsidP="00CE4503">
            <w:pPr>
              <w:pStyle w:val="Heading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C155E3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EA3A68" w:rsidRPr="00C155E3" w:rsidRDefault="00EA3A68" w:rsidP="00CE450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155E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3A68" w:rsidRPr="00C155E3" w:rsidRDefault="00EA3A68" w:rsidP="00CE4503">
            <w:pPr>
              <w:pStyle w:val="Heading3"/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155E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C155E3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*</w:t>
            </w: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West Bank</w:t>
            </w:r>
            <w:r w:rsidRPr="00C155E3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3A68" w:rsidRPr="00C155E3" w:rsidRDefault="00EA3A68" w:rsidP="00CE4503">
            <w:pPr>
              <w:pStyle w:val="Heading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C155E3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 xml:space="preserve"> </w:t>
            </w:r>
            <w:r w:rsidRPr="00C155E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قطاع غزة</w:t>
            </w:r>
          </w:p>
          <w:p w:rsidR="00EA3A68" w:rsidRPr="00C155E3" w:rsidRDefault="00EA3A68" w:rsidP="00CE450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155E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3A68" w:rsidRPr="00C155E3" w:rsidRDefault="00EA3A68" w:rsidP="00CE4503">
            <w:pPr>
              <w:pStyle w:val="Heading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C155E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القدس</w:t>
            </w:r>
          </w:p>
          <w:p w:rsidR="00EA3A68" w:rsidRPr="00C155E3" w:rsidRDefault="00EA3A68" w:rsidP="00CE450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155E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vAlign w:val="center"/>
          </w:tcPr>
          <w:p w:rsidR="00EA3A68" w:rsidRPr="00C155E3" w:rsidRDefault="00EA3A68" w:rsidP="00CE4503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Major Groups of Expenditure</w:t>
            </w:r>
          </w:p>
        </w:tc>
      </w:tr>
      <w:tr w:rsidR="00EA3A68" w:rsidRPr="00C155E3" w:rsidTr="00CE4503">
        <w:trPr>
          <w:trHeight w:val="312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3A68" w:rsidRPr="00C155E3" w:rsidRDefault="00EA3A6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المواد الغذائية والمشروبات المرطبة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3C0AE3" w:rsidRDefault="00EA3A68" w:rsidP="00CE450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0AE3">
              <w:rPr>
                <w:rFonts w:ascii="Arial" w:hAnsi="Arial" w:cs="Arial"/>
                <w:b/>
                <w:bCs/>
                <w:sz w:val="16"/>
                <w:szCs w:val="16"/>
              </w:rPr>
              <w:t>35.0175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34.9556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41.1820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23.6719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3A68" w:rsidRPr="00C155E3" w:rsidRDefault="00EA3A6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Food and soft drinks</w:t>
            </w:r>
          </w:p>
        </w:tc>
      </w:tr>
      <w:tr w:rsidR="00EA3A68" w:rsidRPr="00C155E3" w:rsidTr="00CE4503">
        <w:trPr>
          <w:trHeight w:val="312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3A68" w:rsidRPr="00C155E3" w:rsidRDefault="00EA3A6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المشروبات الكحولية والتبغ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3C0AE3" w:rsidRDefault="00EA3A68" w:rsidP="00CE450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0AE3">
              <w:rPr>
                <w:rFonts w:ascii="Arial" w:hAnsi="Arial" w:cs="Arial"/>
                <w:b/>
                <w:bCs/>
                <w:sz w:val="16"/>
                <w:szCs w:val="16"/>
              </w:rPr>
              <w:t>4.3089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5.2219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2.3220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4.0605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3A68" w:rsidRPr="00C155E3" w:rsidRDefault="00EA3A6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Alcoholic Beverages and tobacco</w:t>
            </w:r>
          </w:p>
        </w:tc>
      </w:tr>
      <w:tr w:rsidR="00EA3A68" w:rsidRPr="00C155E3" w:rsidTr="00CE4503">
        <w:trPr>
          <w:trHeight w:val="312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3A68" w:rsidRPr="00C155E3" w:rsidRDefault="00EA3A6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الأقمشة والملابس والأحذية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3C0AE3" w:rsidRDefault="00EA3A68" w:rsidP="00CE450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0AE3">
              <w:rPr>
                <w:rFonts w:ascii="Arial" w:hAnsi="Arial" w:cs="Arial"/>
                <w:b/>
                <w:bCs/>
                <w:sz w:val="16"/>
                <w:szCs w:val="16"/>
              </w:rPr>
              <w:t>6.2857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5.7950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7.0944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6.9074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3A68" w:rsidRPr="00C155E3" w:rsidRDefault="00EA3A6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Textiles, clothing and footwear</w:t>
            </w:r>
          </w:p>
        </w:tc>
      </w:tr>
      <w:tr w:rsidR="00EA3A68" w:rsidRPr="00C155E3" w:rsidTr="00CE4503">
        <w:trPr>
          <w:trHeight w:val="312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3A68" w:rsidRPr="00C155E3" w:rsidRDefault="00EA3A6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المسكن ومستلزماته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3C0AE3" w:rsidRDefault="00EA3A68" w:rsidP="00CE450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0AE3">
              <w:rPr>
                <w:rFonts w:ascii="Arial" w:hAnsi="Arial" w:cs="Arial"/>
                <w:b/>
                <w:bCs/>
                <w:sz w:val="16"/>
                <w:szCs w:val="16"/>
              </w:rPr>
              <w:t>8.8652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8.8268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8.7349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9.2789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3A68" w:rsidRPr="00C155E3" w:rsidRDefault="00EA3A6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Housing</w:t>
            </w:r>
          </w:p>
        </w:tc>
      </w:tr>
      <w:tr w:rsidR="00EA3A68" w:rsidRPr="00C155E3" w:rsidTr="00CE4503">
        <w:trPr>
          <w:trHeight w:val="312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3A68" w:rsidRPr="00C155E3" w:rsidRDefault="00EA3A6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الأثاث والمفروشات والسلع المنزلية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3C0AE3" w:rsidRDefault="00EA3A68" w:rsidP="00CE450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0AE3">
              <w:rPr>
                <w:rFonts w:ascii="Arial" w:hAnsi="Arial" w:cs="Arial"/>
                <w:b/>
                <w:bCs/>
                <w:sz w:val="16"/>
                <w:szCs w:val="16"/>
              </w:rPr>
              <w:t>5.3590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4.8289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6.5546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5.4239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3A68" w:rsidRPr="00C155E3" w:rsidRDefault="00EA3A6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Furniture and household goods </w:t>
            </w:r>
          </w:p>
        </w:tc>
      </w:tr>
      <w:tr w:rsidR="00EA3A68" w:rsidRPr="00C155E3" w:rsidTr="00CE4503">
        <w:trPr>
          <w:trHeight w:val="312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3A68" w:rsidRPr="00C155E3" w:rsidRDefault="00EA3A6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الخدمات الطبية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3C0AE3" w:rsidRDefault="00EA3A68" w:rsidP="00CE450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0AE3">
              <w:rPr>
                <w:rFonts w:ascii="Arial" w:hAnsi="Arial" w:cs="Arial"/>
                <w:b/>
                <w:bCs/>
                <w:sz w:val="16"/>
                <w:szCs w:val="16"/>
              </w:rPr>
              <w:t>3.9328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4.4389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3.0826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3.3219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3A68" w:rsidRPr="00C155E3" w:rsidRDefault="00EA3A6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Medical care</w:t>
            </w:r>
          </w:p>
        </w:tc>
      </w:tr>
      <w:tr w:rsidR="00EA3A68" w:rsidRPr="00C155E3" w:rsidTr="00CE4503">
        <w:trPr>
          <w:trHeight w:val="312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3A68" w:rsidRPr="00C155E3" w:rsidRDefault="00EA3A6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النقل والمواصلات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3C0AE3" w:rsidRDefault="00EA3A68" w:rsidP="00CE450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0AE3">
              <w:rPr>
                <w:rFonts w:ascii="Arial" w:hAnsi="Arial" w:cs="Arial"/>
                <w:b/>
                <w:bCs/>
                <w:sz w:val="16"/>
                <w:szCs w:val="16"/>
              </w:rPr>
              <w:t>13.8281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15.3316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7.9311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18.3655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3A68" w:rsidRPr="00C155E3" w:rsidRDefault="00EA3A6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Transportation</w:t>
            </w:r>
          </w:p>
        </w:tc>
      </w:tr>
      <w:tr w:rsidR="00EA3A68" w:rsidRPr="00C155E3" w:rsidTr="00CE4503">
        <w:trPr>
          <w:trHeight w:val="312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3A68" w:rsidRPr="00C155E3" w:rsidRDefault="00EA3A6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الاتصالات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3C0AE3" w:rsidRDefault="00EA3A68" w:rsidP="00CE450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0AE3">
              <w:rPr>
                <w:rFonts w:ascii="Arial" w:hAnsi="Arial" w:cs="Arial"/>
                <w:b/>
                <w:bCs/>
                <w:sz w:val="16"/>
                <w:szCs w:val="16"/>
              </w:rPr>
              <w:t>3.5508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3.4552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3.1687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4.6886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3A68" w:rsidRPr="00C155E3" w:rsidRDefault="00EA3A6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Communications</w:t>
            </w:r>
          </w:p>
        </w:tc>
      </w:tr>
      <w:tr w:rsidR="00EA3A68" w:rsidRPr="00C155E3" w:rsidTr="00CE4503">
        <w:trPr>
          <w:trHeight w:val="312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3A68" w:rsidRPr="00C155E3" w:rsidRDefault="00EA3A6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السلع والخدمات الترفيهية والثقافية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3C0AE3" w:rsidRDefault="00EA3A68" w:rsidP="00CE450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0AE3">
              <w:rPr>
                <w:rFonts w:ascii="Arial" w:hAnsi="Arial" w:cs="Arial"/>
                <w:b/>
                <w:bCs/>
                <w:sz w:val="16"/>
                <w:szCs w:val="16"/>
              </w:rPr>
              <w:t>2.0673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1.7833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2.3937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2.6941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3A68" w:rsidRPr="00C155E3" w:rsidRDefault="00EA3A6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Recreational, cultural goods &amp; services</w:t>
            </w:r>
          </w:p>
        </w:tc>
      </w:tr>
      <w:tr w:rsidR="00EA3A68" w:rsidRPr="00C155E3" w:rsidTr="00CE4503">
        <w:trPr>
          <w:trHeight w:val="312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3A68" w:rsidRPr="00C155E3" w:rsidRDefault="00EA3A6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خدمات التعليم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3C0AE3" w:rsidRDefault="00EA3A68" w:rsidP="00CE450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0AE3">
              <w:rPr>
                <w:rFonts w:ascii="Arial" w:hAnsi="Arial" w:cs="Arial"/>
                <w:b/>
                <w:bCs/>
                <w:sz w:val="16"/>
                <w:szCs w:val="16"/>
              </w:rPr>
              <w:t>3.3886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3.5926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3.3806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2.5117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3A68" w:rsidRPr="00C155E3" w:rsidRDefault="00EA3A6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Education</w:t>
            </w:r>
          </w:p>
        </w:tc>
      </w:tr>
      <w:tr w:rsidR="00EA3A68" w:rsidRPr="00C155E3" w:rsidTr="00CE4503">
        <w:trPr>
          <w:trHeight w:val="312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3A68" w:rsidRPr="00C155E3" w:rsidRDefault="00EA3A6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خدمات المطاعم والمقاهي والفنادق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3C0AE3" w:rsidRDefault="00EA3A68" w:rsidP="00CE450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0AE3">
              <w:rPr>
                <w:rFonts w:ascii="Arial" w:hAnsi="Arial" w:cs="Arial"/>
                <w:b/>
                <w:bCs/>
                <w:sz w:val="16"/>
                <w:szCs w:val="16"/>
              </w:rPr>
              <w:t>1.9198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1.8566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1.6527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2.7000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3A68" w:rsidRPr="00C155E3" w:rsidRDefault="00EA3A6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Restaurants and cafes</w:t>
            </w:r>
          </w:p>
        </w:tc>
      </w:tr>
      <w:tr w:rsidR="00EA3A68" w:rsidRPr="00C155E3" w:rsidTr="00CE4503">
        <w:trPr>
          <w:trHeight w:val="312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3A68" w:rsidRPr="00C155E3" w:rsidRDefault="00EA3A68" w:rsidP="00CE450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</w:t>
            </w: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سلع و</w:t>
            </w:r>
            <w:r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</w:t>
            </w: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خدمات </w:t>
            </w:r>
            <w:r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</w:t>
            </w: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متنوعة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3C0AE3" w:rsidRDefault="00EA3A68" w:rsidP="00CE450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0AE3">
              <w:rPr>
                <w:rFonts w:ascii="Arial" w:hAnsi="Arial" w:cs="Arial"/>
                <w:b/>
                <w:bCs/>
                <w:sz w:val="16"/>
                <w:szCs w:val="16"/>
              </w:rPr>
              <w:t>11.4763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9.9135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12.5028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EA3A68" w:rsidRPr="00F53827" w:rsidRDefault="00EA3A68" w:rsidP="00CE45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3827">
              <w:rPr>
                <w:rFonts w:ascii="Arial" w:hAnsi="Arial" w:cs="Arial"/>
                <w:sz w:val="16"/>
                <w:szCs w:val="16"/>
              </w:rPr>
              <w:t>16.3756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3A68" w:rsidRPr="00C155E3" w:rsidRDefault="00EA3A68" w:rsidP="00CE450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Miscellaneous goods and services</w:t>
            </w:r>
          </w:p>
        </w:tc>
      </w:tr>
      <w:tr w:rsidR="00EA3A68" w:rsidRPr="00C155E3" w:rsidTr="00CE4503">
        <w:trPr>
          <w:trHeight w:val="312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A68" w:rsidRPr="00C155E3" w:rsidRDefault="00EA3A68" w:rsidP="00CE4503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الرقم القياسي العام لأسعار المستهلك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3A68" w:rsidRPr="003C0AE3" w:rsidRDefault="00EA3A68" w:rsidP="00A46E9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C0AE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100.</w:t>
            </w:r>
            <w:r w:rsidR="00A46E9D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3A68" w:rsidRPr="00A46E9D" w:rsidRDefault="00EA3A68" w:rsidP="00CE450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A46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100.00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3A68" w:rsidRPr="00A46E9D" w:rsidRDefault="00EA3A68" w:rsidP="00CE450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A46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3A68" w:rsidRPr="00A46E9D" w:rsidRDefault="00EA3A68" w:rsidP="00CE450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A46E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100.00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A68" w:rsidRPr="00C155E3" w:rsidRDefault="00EA3A68" w:rsidP="00CE4503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All Items of consumer price index</w:t>
            </w:r>
          </w:p>
        </w:tc>
      </w:tr>
    </w:tbl>
    <w:p w:rsidR="00FC165D" w:rsidRPr="00FC165D" w:rsidRDefault="00FC165D" w:rsidP="00FC165D">
      <w:pPr>
        <w:ind w:firstLine="720"/>
        <w:rPr>
          <w:sz w:val="2"/>
          <w:szCs w:val="2"/>
        </w:rPr>
      </w:pPr>
    </w:p>
    <w:tbl>
      <w:tblPr>
        <w:bidiVisual/>
        <w:tblW w:w="7761" w:type="dxa"/>
        <w:jc w:val="center"/>
        <w:tblInd w:w="-312" w:type="dxa"/>
        <w:tblBorders>
          <w:insideH w:val="single" w:sz="4" w:space="0" w:color="auto"/>
        </w:tblBorders>
        <w:tblLayout w:type="fixed"/>
        <w:tblLook w:val="0000"/>
      </w:tblPr>
      <w:tblGrid>
        <w:gridCol w:w="3880"/>
        <w:gridCol w:w="3881"/>
      </w:tblGrid>
      <w:tr w:rsidR="00FC165D" w:rsidRPr="00C155E3" w:rsidTr="00FC165D">
        <w:trPr>
          <w:trHeight w:val="312"/>
          <w:jc w:val="center"/>
        </w:trPr>
        <w:tc>
          <w:tcPr>
            <w:tcW w:w="3880" w:type="dxa"/>
          </w:tcPr>
          <w:p w:rsidR="00FC165D" w:rsidRPr="001F3E23" w:rsidRDefault="00FC165D" w:rsidP="00FC165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>
              <w:rPr>
                <w:rFonts w:cs="Simplified Arabic" w:hint="cs"/>
                <w:noProof w:val="0"/>
                <w:color w:val="000000" w:themeColor="text1"/>
                <w:sz w:val="14"/>
                <w:szCs w:val="14"/>
                <w:rtl/>
              </w:rPr>
              <w:t>*</w:t>
            </w:r>
            <w:r w:rsidR="0030198E">
              <w:rPr>
                <w:rFonts w:cs="Simplified Arabic" w:hint="cs"/>
                <w:noProof w:val="0"/>
                <w:color w:val="000000" w:themeColor="text1"/>
                <w:sz w:val="14"/>
                <w:szCs w:val="14"/>
                <w:rtl/>
              </w:rPr>
              <w:t>:</w:t>
            </w:r>
            <w:proofErr w:type="spellEnd"/>
            <w:r>
              <w:rPr>
                <w:rFonts w:cs="Simplified Arabic" w:hint="cs"/>
                <w:noProof w:val="0"/>
                <w:color w:val="000000" w:themeColor="text1"/>
                <w:sz w:val="14"/>
                <w:szCs w:val="14"/>
                <w:rtl/>
              </w:rPr>
              <w:t xml:space="preserve"> </w:t>
            </w:r>
            <w:r w:rsidRPr="0051144E">
              <w:rPr>
                <w:rFonts w:cs="Simplified Arabic"/>
                <w:noProof w:val="0"/>
                <w:color w:val="000000" w:themeColor="text1"/>
                <w:sz w:val="14"/>
                <w:szCs w:val="14"/>
                <w:rtl/>
              </w:rPr>
              <w:t xml:space="preserve">البيانات </w:t>
            </w:r>
            <w:r w:rsidRPr="0051144E">
              <w:rPr>
                <w:rFonts w:cs="Simplified Arabic"/>
                <w:noProof w:val="0"/>
                <w:snapToGrid w:val="0"/>
                <w:color w:val="000000" w:themeColor="text1"/>
                <w:sz w:val="14"/>
                <w:szCs w:val="14"/>
                <w:rtl/>
              </w:rPr>
              <w:t xml:space="preserve">لا تشمل ذلك الجزء من محافظة القدس </w:t>
            </w:r>
            <w:r w:rsidRPr="0051144E">
              <w:rPr>
                <w:rFonts w:cs="Simplified Arabic" w:hint="cs"/>
                <w:noProof w:val="0"/>
                <w:snapToGrid w:val="0"/>
                <w:color w:val="000000" w:themeColor="text1"/>
                <w:sz w:val="14"/>
                <w:szCs w:val="14"/>
                <w:rtl/>
              </w:rPr>
              <w:t>والذي ضمته</w:t>
            </w:r>
            <w:r w:rsidRPr="0051144E">
              <w:rPr>
                <w:rFonts w:cs="Simplified Arabic"/>
                <w:noProof w:val="0"/>
                <w:snapToGrid w:val="0"/>
                <w:color w:val="000000" w:themeColor="text1"/>
                <w:sz w:val="14"/>
                <w:szCs w:val="14"/>
                <w:rtl/>
              </w:rPr>
              <w:t xml:space="preserve"> </w:t>
            </w:r>
            <w:r w:rsidRPr="0051144E">
              <w:rPr>
                <w:rFonts w:cs="Simplified Arabic" w:hint="cs"/>
                <w:noProof w:val="0"/>
                <w:snapToGrid w:val="0"/>
                <w:color w:val="000000" w:themeColor="text1"/>
                <w:sz w:val="14"/>
                <w:szCs w:val="14"/>
                <w:rtl/>
              </w:rPr>
              <w:t>إسرائيل</w:t>
            </w:r>
            <w:r w:rsidRPr="0051144E">
              <w:rPr>
                <w:rFonts w:cs="Simplified Arabic"/>
                <w:noProof w:val="0"/>
                <w:snapToGrid w:val="0"/>
                <w:color w:val="000000" w:themeColor="text1"/>
                <w:sz w:val="14"/>
                <w:szCs w:val="14"/>
              </w:rPr>
              <w:t xml:space="preserve"> </w:t>
            </w:r>
            <w:r w:rsidRPr="0051144E">
              <w:rPr>
                <w:rFonts w:cs="Simplified Arabic"/>
                <w:noProof w:val="0"/>
                <w:snapToGrid w:val="0"/>
                <w:color w:val="000000" w:themeColor="text1"/>
                <w:sz w:val="14"/>
                <w:szCs w:val="14"/>
                <w:rtl/>
              </w:rPr>
              <w:t>عام 1967</w:t>
            </w:r>
            <w:r w:rsidRPr="0051144E">
              <w:rPr>
                <w:rFonts w:ascii="Arial" w:hAnsi="Arial" w:cs="Simplified Arabic" w:hint="cs"/>
                <w:color w:val="000000" w:themeColor="text1"/>
                <w:sz w:val="14"/>
                <w:szCs w:val="14"/>
                <w:rtl/>
              </w:rPr>
              <w:t>.</w:t>
            </w:r>
          </w:p>
        </w:tc>
        <w:tc>
          <w:tcPr>
            <w:tcW w:w="388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C165D" w:rsidRPr="00C155E3" w:rsidRDefault="00FC165D" w:rsidP="00FC165D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*</w:t>
            </w:r>
            <w:r w:rsidR="0030198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: Data does not include those parts of Jerusalem governorate which were annexed by Israel in </w:t>
            </w:r>
            <w:r w:rsidR="0030198E">
              <w:rPr>
                <w:rFonts w:ascii="Arial" w:hAnsi="Arial" w:cs="Arial" w:hint="cs"/>
                <w:color w:val="000000" w:themeColor="text1"/>
                <w:sz w:val="14"/>
                <w:szCs w:val="14"/>
                <w:rtl/>
              </w:rPr>
              <w:t>1967</w:t>
            </w:r>
            <w:r w:rsidRPr="0051144E">
              <w:rPr>
                <w:rFonts w:ascii="Arial" w:hAnsi="Arial" w:cs="Arial"/>
                <w:color w:val="000000" w:themeColor="text1"/>
                <w:sz w:val="14"/>
                <w:szCs w:val="14"/>
              </w:rPr>
              <w:t>.</w:t>
            </w:r>
          </w:p>
        </w:tc>
      </w:tr>
    </w:tbl>
    <w:p w:rsidR="00EA3A68" w:rsidRPr="00C155E3" w:rsidRDefault="00EA3A68" w:rsidP="00EA3A68">
      <w:pPr>
        <w:jc w:val="both"/>
        <w:rPr>
          <w:rFonts w:cs="Simplified Arabic"/>
          <w:color w:val="000000" w:themeColor="text1"/>
          <w:rtl/>
        </w:rPr>
      </w:pPr>
    </w:p>
    <w:p w:rsidR="00EA3A68" w:rsidRPr="00C155E3" w:rsidRDefault="00EA3A68" w:rsidP="00EA3A68">
      <w:pPr>
        <w:ind w:left="-1"/>
        <w:jc w:val="lowKashida"/>
        <w:rPr>
          <w:rFonts w:cs="Simplified Arabic"/>
          <w:color w:val="000000" w:themeColor="text1"/>
          <w:rtl/>
        </w:rPr>
      </w:pPr>
    </w:p>
    <w:p w:rsidR="00EA3A68" w:rsidRPr="00C155E3" w:rsidRDefault="00EA3A68" w:rsidP="00EA3A68">
      <w:pPr>
        <w:jc w:val="both"/>
        <w:rPr>
          <w:rFonts w:cs="Simplified Arabic"/>
          <w:color w:val="000000" w:themeColor="text1"/>
          <w:rtl/>
        </w:rPr>
      </w:pPr>
    </w:p>
    <w:p w:rsidR="00EA3A68" w:rsidRPr="00C155E3" w:rsidRDefault="00EA3A68" w:rsidP="00EA3A68">
      <w:pPr>
        <w:jc w:val="both"/>
        <w:rPr>
          <w:rFonts w:cs="Simplified Arabic"/>
          <w:color w:val="000000" w:themeColor="text1"/>
          <w:rtl/>
        </w:rPr>
      </w:pPr>
    </w:p>
    <w:p w:rsidR="00EA3A68" w:rsidRPr="00C155E3" w:rsidRDefault="00EA3A68" w:rsidP="00EA3A68">
      <w:pPr>
        <w:jc w:val="both"/>
        <w:rPr>
          <w:rFonts w:cs="Simplified Arabic"/>
          <w:color w:val="000000" w:themeColor="text1"/>
          <w:rtl/>
        </w:rPr>
      </w:pPr>
    </w:p>
    <w:p w:rsidR="00EA3A68" w:rsidRPr="00C155E3" w:rsidRDefault="00EA3A68" w:rsidP="00EA3A68">
      <w:pPr>
        <w:bidi w:val="0"/>
        <w:rPr>
          <w:rFonts w:cs="Simplified Arabic"/>
          <w:color w:val="000000" w:themeColor="text1"/>
          <w:rtl/>
        </w:rPr>
      </w:pPr>
      <w:r w:rsidRPr="00C155E3">
        <w:rPr>
          <w:rFonts w:cs="Simplified Arabic"/>
          <w:color w:val="000000" w:themeColor="text1"/>
          <w:rtl/>
        </w:rPr>
        <w:br w:type="page"/>
      </w:r>
    </w:p>
    <w:p w:rsidR="00EA3A68" w:rsidRPr="00C155E3" w:rsidRDefault="00EA3A68" w:rsidP="00EA3A68">
      <w:pPr>
        <w:jc w:val="both"/>
        <w:rPr>
          <w:rFonts w:cs="Simplified Arabic"/>
          <w:color w:val="000000" w:themeColor="text1"/>
          <w:rtl/>
        </w:rPr>
      </w:pPr>
    </w:p>
    <w:p w:rsidR="00EA3A68" w:rsidRPr="00C155E3" w:rsidRDefault="00EA3A68" w:rsidP="00EA3A68">
      <w:pPr>
        <w:jc w:val="both"/>
        <w:rPr>
          <w:rFonts w:cs="Simplified Arabic"/>
          <w:color w:val="000000" w:themeColor="text1"/>
          <w:rtl/>
        </w:rPr>
      </w:pPr>
    </w:p>
    <w:p w:rsidR="00EA3A68" w:rsidRPr="00C155E3" w:rsidRDefault="00EA3A68" w:rsidP="00EA3A68">
      <w:pPr>
        <w:jc w:val="both"/>
        <w:rPr>
          <w:rFonts w:cs="Simplified Arabic"/>
          <w:color w:val="000000" w:themeColor="text1"/>
          <w:rtl/>
        </w:rPr>
      </w:pPr>
    </w:p>
    <w:p w:rsidR="00095F0A" w:rsidRPr="00C155E3" w:rsidRDefault="00095F0A" w:rsidP="00EA3A68">
      <w:pPr>
        <w:ind w:left="-1"/>
        <w:jc w:val="lowKashida"/>
        <w:rPr>
          <w:rFonts w:cs="Simplified Arabic"/>
          <w:color w:val="000000" w:themeColor="text1"/>
          <w:rtl/>
        </w:rPr>
      </w:pPr>
    </w:p>
    <w:sectPr w:rsidR="00095F0A" w:rsidRPr="00C155E3" w:rsidSect="006A0F1D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6"/>
      </w:footnotePr>
      <w:endnotePr>
        <w:numFmt w:val="lowerLetter"/>
      </w:endnotePr>
      <w:type w:val="continuous"/>
      <w:pgSz w:w="9639" w:h="13608" w:code="9"/>
      <w:pgMar w:top="1134" w:right="851" w:bottom="1134" w:left="1134" w:header="680" w:footer="680" w:gutter="0"/>
      <w:pgNumType w:start="137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DB0" w:rsidRDefault="00197DB0">
      <w:r>
        <w:separator/>
      </w:r>
    </w:p>
  </w:endnote>
  <w:endnote w:type="continuationSeparator" w:id="0">
    <w:p w:rsidR="00197DB0" w:rsidRDefault="00197D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3AE" w:rsidRDefault="00C87E01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EE03AE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EE03AE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EE03AE" w:rsidRDefault="00EE03AE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3AE" w:rsidRDefault="00C87E01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EE03AE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6A0F1D">
      <w:rPr>
        <w:rStyle w:val="PageNumber"/>
        <w:rFonts w:cs="Times New Roman"/>
        <w:sz w:val="16"/>
        <w:szCs w:val="16"/>
        <w:rtl/>
      </w:rPr>
      <w:t>142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EE03AE" w:rsidRDefault="00EE03AE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3AE" w:rsidRPr="00B71722" w:rsidRDefault="00C87E01">
    <w:pPr>
      <w:pStyle w:val="Footer"/>
      <w:jc w:val="center"/>
      <w:rPr>
        <w:rFonts w:cs="Times New Roman"/>
        <w:sz w:val="16"/>
        <w:szCs w:val="16"/>
      </w:rPr>
    </w:pPr>
    <w:r w:rsidRPr="00B71722">
      <w:rPr>
        <w:rFonts w:cs="Times New Roman"/>
        <w:sz w:val="16"/>
        <w:szCs w:val="16"/>
      </w:rPr>
      <w:fldChar w:fldCharType="begin"/>
    </w:r>
    <w:r w:rsidR="00EE03AE" w:rsidRPr="00B71722">
      <w:rPr>
        <w:rFonts w:cs="Times New Roman"/>
        <w:sz w:val="16"/>
        <w:szCs w:val="16"/>
      </w:rPr>
      <w:instrText xml:space="preserve"> PAGE   \* MERGEFORMAT </w:instrText>
    </w:r>
    <w:r w:rsidRPr="00B71722">
      <w:rPr>
        <w:rFonts w:cs="Times New Roman"/>
        <w:sz w:val="16"/>
        <w:szCs w:val="16"/>
      </w:rPr>
      <w:fldChar w:fldCharType="separate"/>
    </w:r>
    <w:r w:rsidR="006A0F1D">
      <w:rPr>
        <w:rFonts w:cs="Times New Roman"/>
        <w:sz w:val="16"/>
        <w:szCs w:val="16"/>
        <w:rtl/>
      </w:rPr>
      <w:t>137</w:t>
    </w:r>
    <w:r w:rsidRPr="00B71722">
      <w:rPr>
        <w:rFonts w:cs="Times New Roman"/>
        <w:sz w:val="16"/>
        <w:szCs w:val="16"/>
      </w:rPr>
      <w:fldChar w:fldCharType="end"/>
    </w:r>
  </w:p>
  <w:p w:rsidR="00EE03AE" w:rsidRDefault="00EE03A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DB0" w:rsidRDefault="00197DB0">
      <w:r>
        <w:separator/>
      </w:r>
    </w:p>
  </w:footnote>
  <w:footnote w:type="continuationSeparator" w:id="0">
    <w:p w:rsidR="00197DB0" w:rsidRDefault="00197D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3AE" w:rsidRDefault="00EE03AE" w:rsidP="00322309">
    <w:pPr>
      <w:pStyle w:val="Footer"/>
      <w:jc w:val="center"/>
      <w:rPr>
        <w:rFonts w:cs="Simplified Arabic"/>
        <w:sz w:val="16"/>
        <w:szCs w:val="16"/>
        <w:rtl/>
      </w:rPr>
    </w:pPr>
    <w:r w:rsidRPr="00EC6752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201</w:t>
    </w:r>
    <w:r w:rsidR="00322309">
      <w:rPr>
        <w:rFonts w:cs="Simplified Arabic" w:hint="cs"/>
        <w:sz w:val="16"/>
        <w:szCs w:val="16"/>
        <w:rtl/>
      </w:rPr>
      <w:t>6</w:t>
    </w:r>
    <w:r>
      <w:rPr>
        <w:rFonts w:cs="Simplified Arabic" w:hint="cs"/>
        <w:sz w:val="16"/>
        <w:szCs w:val="16"/>
        <w:rtl/>
      </w:rPr>
      <w:t xml:space="preserve">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السادس عشر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الأسعار والأرقام القياسية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3AE" w:rsidRPr="00662A53" w:rsidRDefault="00EE03AE" w:rsidP="00322309">
    <w:pPr>
      <w:pStyle w:val="Footer"/>
      <w:jc w:val="center"/>
      <w:rPr>
        <w:rFonts w:cs="Simplified Arabic"/>
        <w:sz w:val="16"/>
        <w:szCs w:val="16"/>
      </w:rPr>
    </w:pPr>
    <w:r w:rsidRPr="00EC6752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201</w:t>
    </w:r>
    <w:r w:rsidR="00322309">
      <w:rPr>
        <w:rFonts w:cs="Simplified Arabic" w:hint="cs"/>
        <w:sz w:val="16"/>
        <w:szCs w:val="16"/>
        <w:rtl/>
      </w:rPr>
      <w:t>6</w:t>
    </w:r>
    <w:r>
      <w:rPr>
        <w:rFonts w:cs="Simplified Arabic" w:hint="cs"/>
        <w:sz w:val="16"/>
        <w:szCs w:val="16"/>
        <w:rtl/>
      </w:rPr>
      <w:t xml:space="preserve">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السادس عشر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الأسعار والأرقام القياسية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0E68"/>
    <w:rsid w:val="00012000"/>
    <w:rsid w:val="000255C5"/>
    <w:rsid w:val="0002575F"/>
    <w:rsid w:val="00030C7F"/>
    <w:rsid w:val="00032071"/>
    <w:rsid w:val="000430E5"/>
    <w:rsid w:val="00046D98"/>
    <w:rsid w:val="00047F22"/>
    <w:rsid w:val="00053782"/>
    <w:rsid w:val="00056A16"/>
    <w:rsid w:val="00057844"/>
    <w:rsid w:val="0006052A"/>
    <w:rsid w:val="00063E48"/>
    <w:rsid w:val="000737BC"/>
    <w:rsid w:val="00075810"/>
    <w:rsid w:val="00081082"/>
    <w:rsid w:val="00082DE1"/>
    <w:rsid w:val="00084D92"/>
    <w:rsid w:val="00091CEC"/>
    <w:rsid w:val="00093196"/>
    <w:rsid w:val="00095F0A"/>
    <w:rsid w:val="000A12CE"/>
    <w:rsid w:val="000B4C2B"/>
    <w:rsid w:val="000B6DEA"/>
    <w:rsid w:val="000B71FD"/>
    <w:rsid w:val="000C0288"/>
    <w:rsid w:val="000C151E"/>
    <w:rsid w:val="000C2BFF"/>
    <w:rsid w:val="000D02CA"/>
    <w:rsid w:val="000D1E58"/>
    <w:rsid w:val="000D1F97"/>
    <w:rsid w:val="000E2C4E"/>
    <w:rsid w:val="000E39AD"/>
    <w:rsid w:val="000E3FFC"/>
    <w:rsid w:val="000E51A2"/>
    <w:rsid w:val="000E649D"/>
    <w:rsid w:val="000F34F3"/>
    <w:rsid w:val="000F3C32"/>
    <w:rsid w:val="000F4613"/>
    <w:rsid w:val="000F531B"/>
    <w:rsid w:val="001010B3"/>
    <w:rsid w:val="00111238"/>
    <w:rsid w:val="0011387E"/>
    <w:rsid w:val="00122556"/>
    <w:rsid w:val="00140EE7"/>
    <w:rsid w:val="0014318B"/>
    <w:rsid w:val="00144080"/>
    <w:rsid w:val="001462BF"/>
    <w:rsid w:val="0015177E"/>
    <w:rsid w:val="00156718"/>
    <w:rsid w:val="00160EAB"/>
    <w:rsid w:val="00162821"/>
    <w:rsid w:val="0017506B"/>
    <w:rsid w:val="00175ABA"/>
    <w:rsid w:val="00183684"/>
    <w:rsid w:val="00183C31"/>
    <w:rsid w:val="00185835"/>
    <w:rsid w:val="001862E2"/>
    <w:rsid w:val="00186E54"/>
    <w:rsid w:val="00193EA2"/>
    <w:rsid w:val="001944FF"/>
    <w:rsid w:val="0019739F"/>
    <w:rsid w:val="001974F5"/>
    <w:rsid w:val="00197DB0"/>
    <w:rsid w:val="001A3144"/>
    <w:rsid w:val="001A5668"/>
    <w:rsid w:val="001A60AB"/>
    <w:rsid w:val="001A71CC"/>
    <w:rsid w:val="001B11A1"/>
    <w:rsid w:val="001B3ECC"/>
    <w:rsid w:val="001B5E9A"/>
    <w:rsid w:val="001C1420"/>
    <w:rsid w:val="001C48EC"/>
    <w:rsid w:val="001C752C"/>
    <w:rsid w:val="001D2961"/>
    <w:rsid w:val="001D330A"/>
    <w:rsid w:val="001D3784"/>
    <w:rsid w:val="001F01D3"/>
    <w:rsid w:val="001F1156"/>
    <w:rsid w:val="001F1520"/>
    <w:rsid w:val="001F3E23"/>
    <w:rsid w:val="001F6791"/>
    <w:rsid w:val="00200CF5"/>
    <w:rsid w:val="00202625"/>
    <w:rsid w:val="00202642"/>
    <w:rsid w:val="00205748"/>
    <w:rsid w:val="00216557"/>
    <w:rsid w:val="00222570"/>
    <w:rsid w:val="00223662"/>
    <w:rsid w:val="00223F27"/>
    <w:rsid w:val="0024225D"/>
    <w:rsid w:val="002539C0"/>
    <w:rsid w:val="002575BD"/>
    <w:rsid w:val="00261B53"/>
    <w:rsid w:val="0027189E"/>
    <w:rsid w:val="0027200D"/>
    <w:rsid w:val="00273090"/>
    <w:rsid w:val="002741AC"/>
    <w:rsid w:val="0028686D"/>
    <w:rsid w:val="0029278C"/>
    <w:rsid w:val="002A3E58"/>
    <w:rsid w:val="002A509D"/>
    <w:rsid w:val="002A60BD"/>
    <w:rsid w:val="002B029B"/>
    <w:rsid w:val="002B131C"/>
    <w:rsid w:val="002B1B18"/>
    <w:rsid w:val="002B2B19"/>
    <w:rsid w:val="002B38B2"/>
    <w:rsid w:val="002B79C9"/>
    <w:rsid w:val="002C41D6"/>
    <w:rsid w:val="002C7987"/>
    <w:rsid w:val="002D02C2"/>
    <w:rsid w:val="002D2BBD"/>
    <w:rsid w:val="002D3926"/>
    <w:rsid w:val="002D420A"/>
    <w:rsid w:val="002E0438"/>
    <w:rsid w:val="002E1803"/>
    <w:rsid w:val="002E3138"/>
    <w:rsid w:val="002F0FD3"/>
    <w:rsid w:val="002F3833"/>
    <w:rsid w:val="002F47AE"/>
    <w:rsid w:val="002F6B6B"/>
    <w:rsid w:val="0030198E"/>
    <w:rsid w:val="00301A10"/>
    <w:rsid w:val="003024C4"/>
    <w:rsid w:val="003044F8"/>
    <w:rsid w:val="0030660D"/>
    <w:rsid w:val="00307207"/>
    <w:rsid w:val="0032161B"/>
    <w:rsid w:val="00322309"/>
    <w:rsid w:val="0032267D"/>
    <w:rsid w:val="0032522B"/>
    <w:rsid w:val="003252AB"/>
    <w:rsid w:val="00330C3E"/>
    <w:rsid w:val="0033105F"/>
    <w:rsid w:val="0033183E"/>
    <w:rsid w:val="00332E2C"/>
    <w:rsid w:val="00332F2F"/>
    <w:rsid w:val="00334CCA"/>
    <w:rsid w:val="00337522"/>
    <w:rsid w:val="003421C8"/>
    <w:rsid w:val="003475A0"/>
    <w:rsid w:val="003476BA"/>
    <w:rsid w:val="00353859"/>
    <w:rsid w:val="00355DD5"/>
    <w:rsid w:val="0036219D"/>
    <w:rsid w:val="003637EE"/>
    <w:rsid w:val="00363F35"/>
    <w:rsid w:val="00364AD1"/>
    <w:rsid w:val="0038231A"/>
    <w:rsid w:val="00390F33"/>
    <w:rsid w:val="00392EC5"/>
    <w:rsid w:val="003964D8"/>
    <w:rsid w:val="003A647C"/>
    <w:rsid w:val="003B51CB"/>
    <w:rsid w:val="003C0AE3"/>
    <w:rsid w:val="003C1421"/>
    <w:rsid w:val="003C34C3"/>
    <w:rsid w:val="003C63AC"/>
    <w:rsid w:val="003C6650"/>
    <w:rsid w:val="003C6D43"/>
    <w:rsid w:val="003D596B"/>
    <w:rsid w:val="003D71A4"/>
    <w:rsid w:val="003D71DC"/>
    <w:rsid w:val="003D7BF8"/>
    <w:rsid w:val="003E1D74"/>
    <w:rsid w:val="003E261A"/>
    <w:rsid w:val="003E2D39"/>
    <w:rsid w:val="003E5355"/>
    <w:rsid w:val="003E5637"/>
    <w:rsid w:val="003E58EF"/>
    <w:rsid w:val="003E6735"/>
    <w:rsid w:val="003F088C"/>
    <w:rsid w:val="003F0E68"/>
    <w:rsid w:val="003F1FEB"/>
    <w:rsid w:val="003F4BB5"/>
    <w:rsid w:val="003F6451"/>
    <w:rsid w:val="003F6552"/>
    <w:rsid w:val="00414BD9"/>
    <w:rsid w:val="004221AB"/>
    <w:rsid w:val="00430986"/>
    <w:rsid w:val="004413EF"/>
    <w:rsid w:val="004440B0"/>
    <w:rsid w:val="00447D68"/>
    <w:rsid w:val="0045241C"/>
    <w:rsid w:val="004640A5"/>
    <w:rsid w:val="00465E6D"/>
    <w:rsid w:val="0047040C"/>
    <w:rsid w:val="00470880"/>
    <w:rsid w:val="00470E12"/>
    <w:rsid w:val="004741C0"/>
    <w:rsid w:val="00475F10"/>
    <w:rsid w:val="00481097"/>
    <w:rsid w:val="0048506B"/>
    <w:rsid w:val="004870D5"/>
    <w:rsid w:val="004877E6"/>
    <w:rsid w:val="00492B86"/>
    <w:rsid w:val="004932E1"/>
    <w:rsid w:val="00495329"/>
    <w:rsid w:val="0049588F"/>
    <w:rsid w:val="004A4612"/>
    <w:rsid w:val="004C11A6"/>
    <w:rsid w:val="004C2970"/>
    <w:rsid w:val="004D1458"/>
    <w:rsid w:val="004D1C9A"/>
    <w:rsid w:val="004D4FB5"/>
    <w:rsid w:val="004D5AD3"/>
    <w:rsid w:val="004E423E"/>
    <w:rsid w:val="004F0A93"/>
    <w:rsid w:val="00502D5C"/>
    <w:rsid w:val="005032C4"/>
    <w:rsid w:val="005061C9"/>
    <w:rsid w:val="0050736E"/>
    <w:rsid w:val="00510E3E"/>
    <w:rsid w:val="00513615"/>
    <w:rsid w:val="00513D39"/>
    <w:rsid w:val="00514565"/>
    <w:rsid w:val="005226F6"/>
    <w:rsid w:val="00527074"/>
    <w:rsid w:val="005307E9"/>
    <w:rsid w:val="00532F68"/>
    <w:rsid w:val="00537971"/>
    <w:rsid w:val="00540154"/>
    <w:rsid w:val="0054113A"/>
    <w:rsid w:val="00542F04"/>
    <w:rsid w:val="0057220A"/>
    <w:rsid w:val="00577B19"/>
    <w:rsid w:val="005803D4"/>
    <w:rsid w:val="00582D34"/>
    <w:rsid w:val="00584026"/>
    <w:rsid w:val="00585507"/>
    <w:rsid w:val="00586240"/>
    <w:rsid w:val="00592D23"/>
    <w:rsid w:val="005A0169"/>
    <w:rsid w:val="005A1A89"/>
    <w:rsid w:val="005A2607"/>
    <w:rsid w:val="005A3D91"/>
    <w:rsid w:val="005A7B4E"/>
    <w:rsid w:val="005B291D"/>
    <w:rsid w:val="005B34AE"/>
    <w:rsid w:val="005B38D8"/>
    <w:rsid w:val="005B52E8"/>
    <w:rsid w:val="005B6D8F"/>
    <w:rsid w:val="005C03F1"/>
    <w:rsid w:val="005C7483"/>
    <w:rsid w:val="005E0D3D"/>
    <w:rsid w:val="00601BD2"/>
    <w:rsid w:val="00602194"/>
    <w:rsid w:val="00604BF2"/>
    <w:rsid w:val="0060565F"/>
    <w:rsid w:val="00605F33"/>
    <w:rsid w:val="00607FD2"/>
    <w:rsid w:val="006109B7"/>
    <w:rsid w:val="0061129C"/>
    <w:rsid w:val="006219B8"/>
    <w:rsid w:val="00623DAA"/>
    <w:rsid w:val="0063468F"/>
    <w:rsid w:val="00635B36"/>
    <w:rsid w:val="00635DA1"/>
    <w:rsid w:val="006416CA"/>
    <w:rsid w:val="00646AE4"/>
    <w:rsid w:val="00651E41"/>
    <w:rsid w:val="00654650"/>
    <w:rsid w:val="006600C9"/>
    <w:rsid w:val="00662A53"/>
    <w:rsid w:val="00662CB1"/>
    <w:rsid w:val="00671206"/>
    <w:rsid w:val="00680D22"/>
    <w:rsid w:val="00681E32"/>
    <w:rsid w:val="00687BF3"/>
    <w:rsid w:val="00690FD8"/>
    <w:rsid w:val="006951E4"/>
    <w:rsid w:val="006A0F1D"/>
    <w:rsid w:val="006A17C8"/>
    <w:rsid w:val="006C4971"/>
    <w:rsid w:val="006C587E"/>
    <w:rsid w:val="006D0139"/>
    <w:rsid w:val="006D21AB"/>
    <w:rsid w:val="006D3677"/>
    <w:rsid w:val="006D6E3D"/>
    <w:rsid w:val="006E0F25"/>
    <w:rsid w:val="006E29F3"/>
    <w:rsid w:val="006E7177"/>
    <w:rsid w:val="006F7E6D"/>
    <w:rsid w:val="00705180"/>
    <w:rsid w:val="00710A5B"/>
    <w:rsid w:val="00712984"/>
    <w:rsid w:val="0071450B"/>
    <w:rsid w:val="00716037"/>
    <w:rsid w:val="00716F29"/>
    <w:rsid w:val="00720A4E"/>
    <w:rsid w:val="00720E7E"/>
    <w:rsid w:val="00724713"/>
    <w:rsid w:val="00730F12"/>
    <w:rsid w:val="0073691D"/>
    <w:rsid w:val="007611A9"/>
    <w:rsid w:val="00766565"/>
    <w:rsid w:val="00766A2D"/>
    <w:rsid w:val="00770183"/>
    <w:rsid w:val="007743F0"/>
    <w:rsid w:val="00775F8C"/>
    <w:rsid w:val="007873F5"/>
    <w:rsid w:val="00787878"/>
    <w:rsid w:val="0079225F"/>
    <w:rsid w:val="00794240"/>
    <w:rsid w:val="00797373"/>
    <w:rsid w:val="007A570D"/>
    <w:rsid w:val="007A749E"/>
    <w:rsid w:val="007B014E"/>
    <w:rsid w:val="007B14DF"/>
    <w:rsid w:val="007B297C"/>
    <w:rsid w:val="007B7C42"/>
    <w:rsid w:val="007D1478"/>
    <w:rsid w:val="007D63F1"/>
    <w:rsid w:val="007D68D3"/>
    <w:rsid w:val="007E1E91"/>
    <w:rsid w:val="007E5EF3"/>
    <w:rsid w:val="007E72D9"/>
    <w:rsid w:val="007F1229"/>
    <w:rsid w:val="00804177"/>
    <w:rsid w:val="0080574B"/>
    <w:rsid w:val="00810580"/>
    <w:rsid w:val="00813955"/>
    <w:rsid w:val="0081741E"/>
    <w:rsid w:val="00817ABB"/>
    <w:rsid w:val="00820D70"/>
    <w:rsid w:val="0082173B"/>
    <w:rsid w:val="00823D4F"/>
    <w:rsid w:val="00831520"/>
    <w:rsid w:val="00832EB3"/>
    <w:rsid w:val="00840216"/>
    <w:rsid w:val="008440CF"/>
    <w:rsid w:val="00847B79"/>
    <w:rsid w:val="008543F5"/>
    <w:rsid w:val="00855DD8"/>
    <w:rsid w:val="00873542"/>
    <w:rsid w:val="00874240"/>
    <w:rsid w:val="0087460E"/>
    <w:rsid w:val="00875F5E"/>
    <w:rsid w:val="0087797D"/>
    <w:rsid w:val="008805AC"/>
    <w:rsid w:val="008805C4"/>
    <w:rsid w:val="00881844"/>
    <w:rsid w:val="00890F01"/>
    <w:rsid w:val="00894D35"/>
    <w:rsid w:val="00894E31"/>
    <w:rsid w:val="008A1F37"/>
    <w:rsid w:val="008A211C"/>
    <w:rsid w:val="008B698B"/>
    <w:rsid w:val="008C4461"/>
    <w:rsid w:val="008C66E9"/>
    <w:rsid w:val="008F63EC"/>
    <w:rsid w:val="008F71F1"/>
    <w:rsid w:val="008F73B1"/>
    <w:rsid w:val="008F7DC5"/>
    <w:rsid w:val="009045E0"/>
    <w:rsid w:val="00904BB0"/>
    <w:rsid w:val="00905418"/>
    <w:rsid w:val="00905427"/>
    <w:rsid w:val="009079C3"/>
    <w:rsid w:val="00907D32"/>
    <w:rsid w:val="00911315"/>
    <w:rsid w:val="0091237F"/>
    <w:rsid w:val="00914F8C"/>
    <w:rsid w:val="00915BC2"/>
    <w:rsid w:val="009233D9"/>
    <w:rsid w:val="009332F2"/>
    <w:rsid w:val="00940B28"/>
    <w:rsid w:val="00941DAF"/>
    <w:rsid w:val="00942F04"/>
    <w:rsid w:val="009440C9"/>
    <w:rsid w:val="00952E4C"/>
    <w:rsid w:val="00955C11"/>
    <w:rsid w:val="009614E6"/>
    <w:rsid w:val="0096159E"/>
    <w:rsid w:val="00976AA3"/>
    <w:rsid w:val="0097711C"/>
    <w:rsid w:val="00980D68"/>
    <w:rsid w:val="009839CB"/>
    <w:rsid w:val="0098475D"/>
    <w:rsid w:val="00985AC6"/>
    <w:rsid w:val="00991C99"/>
    <w:rsid w:val="00993289"/>
    <w:rsid w:val="009A6671"/>
    <w:rsid w:val="009B13EA"/>
    <w:rsid w:val="009B2E89"/>
    <w:rsid w:val="009D40CD"/>
    <w:rsid w:val="009D66CB"/>
    <w:rsid w:val="009D7441"/>
    <w:rsid w:val="009E2944"/>
    <w:rsid w:val="009E34ED"/>
    <w:rsid w:val="009E780E"/>
    <w:rsid w:val="009F4D28"/>
    <w:rsid w:val="009F51C7"/>
    <w:rsid w:val="009F6EAF"/>
    <w:rsid w:val="00A0254B"/>
    <w:rsid w:val="00A07C2C"/>
    <w:rsid w:val="00A12B49"/>
    <w:rsid w:val="00A14EAC"/>
    <w:rsid w:val="00A17479"/>
    <w:rsid w:val="00A202DD"/>
    <w:rsid w:val="00A2103F"/>
    <w:rsid w:val="00A2588A"/>
    <w:rsid w:val="00A312D8"/>
    <w:rsid w:val="00A32130"/>
    <w:rsid w:val="00A330BB"/>
    <w:rsid w:val="00A34302"/>
    <w:rsid w:val="00A40F88"/>
    <w:rsid w:val="00A467AD"/>
    <w:rsid w:val="00A46E9D"/>
    <w:rsid w:val="00A50326"/>
    <w:rsid w:val="00A51E6B"/>
    <w:rsid w:val="00A55EB4"/>
    <w:rsid w:val="00A57BF1"/>
    <w:rsid w:val="00A66A8D"/>
    <w:rsid w:val="00A74583"/>
    <w:rsid w:val="00A83AC9"/>
    <w:rsid w:val="00A85621"/>
    <w:rsid w:val="00A95385"/>
    <w:rsid w:val="00A95509"/>
    <w:rsid w:val="00A95844"/>
    <w:rsid w:val="00AA0063"/>
    <w:rsid w:val="00AB276F"/>
    <w:rsid w:val="00AB5701"/>
    <w:rsid w:val="00AB77A1"/>
    <w:rsid w:val="00AC3EA0"/>
    <w:rsid w:val="00AC577A"/>
    <w:rsid w:val="00AC5EFF"/>
    <w:rsid w:val="00AE00D1"/>
    <w:rsid w:val="00AE7E50"/>
    <w:rsid w:val="00AF5156"/>
    <w:rsid w:val="00AF5D17"/>
    <w:rsid w:val="00B0406F"/>
    <w:rsid w:val="00B05E1F"/>
    <w:rsid w:val="00B078AF"/>
    <w:rsid w:val="00B12DD0"/>
    <w:rsid w:val="00B16149"/>
    <w:rsid w:val="00B2104E"/>
    <w:rsid w:val="00B27128"/>
    <w:rsid w:val="00B277A3"/>
    <w:rsid w:val="00B34B6F"/>
    <w:rsid w:val="00B35DF6"/>
    <w:rsid w:val="00B365C4"/>
    <w:rsid w:val="00B37BA4"/>
    <w:rsid w:val="00B44162"/>
    <w:rsid w:val="00B46AD6"/>
    <w:rsid w:val="00B52A57"/>
    <w:rsid w:val="00B5424F"/>
    <w:rsid w:val="00B65739"/>
    <w:rsid w:val="00B65CD7"/>
    <w:rsid w:val="00B66897"/>
    <w:rsid w:val="00B66AA1"/>
    <w:rsid w:val="00B67160"/>
    <w:rsid w:val="00B701CE"/>
    <w:rsid w:val="00B709E2"/>
    <w:rsid w:val="00B71722"/>
    <w:rsid w:val="00B71F8B"/>
    <w:rsid w:val="00B72425"/>
    <w:rsid w:val="00B85D34"/>
    <w:rsid w:val="00B87FA2"/>
    <w:rsid w:val="00B93B91"/>
    <w:rsid w:val="00B964B4"/>
    <w:rsid w:val="00B9679C"/>
    <w:rsid w:val="00BA0027"/>
    <w:rsid w:val="00BA1C33"/>
    <w:rsid w:val="00BA56B1"/>
    <w:rsid w:val="00BA6FB3"/>
    <w:rsid w:val="00BB761D"/>
    <w:rsid w:val="00BC2652"/>
    <w:rsid w:val="00BC2E4B"/>
    <w:rsid w:val="00BC2EED"/>
    <w:rsid w:val="00BC58AA"/>
    <w:rsid w:val="00BC69F5"/>
    <w:rsid w:val="00BD15CE"/>
    <w:rsid w:val="00BD569D"/>
    <w:rsid w:val="00BD5F4D"/>
    <w:rsid w:val="00BD772D"/>
    <w:rsid w:val="00BE0DC4"/>
    <w:rsid w:val="00BE583C"/>
    <w:rsid w:val="00BE6404"/>
    <w:rsid w:val="00C02985"/>
    <w:rsid w:val="00C038A8"/>
    <w:rsid w:val="00C06247"/>
    <w:rsid w:val="00C06C6F"/>
    <w:rsid w:val="00C106AB"/>
    <w:rsid w:val="00C1133B"/>
    <w:rsid w:val="00C1172C"/>
    <w:rsid w:val="00C11A99"/>
    <w:rsid w:val="00C1350F"/>
    <w:rsid w:val="00C155E3"/>
    <w:rsid w:val="00C1711F"/>
    <w:rsid w:val="00C17997"/>
    <w:rsid w:val="00C202F1"/>
    <w:rsid w:val="00C303DA"/>
    <w:rsid w:val="00C3100B"/>
    <w:rsid w:val="00C3287C"/>
    <w:rsid w:val="00C3296D"/>
    <w:rsid w:val="00C32E61"/>
    <w:rsid w:val="00C41240"/>
    <w:rsid w:val="00C436AE"/>
    <w:rsid w:val="00C43A0B"/>
    <w:rsid w:val="00C442DF"/>
    <w:rsid w:val="00C6023A"/>
    <w:rsid w:val="00C60FCC"/>
    <w:rsid w:val="00C72350"/>
    <w:rsid w:val="00C73F81"/>
    <w:rsid w:val="00C762B0"/>
    <w:rsid w:val="00C855C0"/>
    <w:rsid w:val="00C87E01"/>
    <w:rsid w:val="00C92C45"/>
    <w:rsid w:val="00C934E0"/>
    <w:rsid w:val="00C937F7"/>
    <w:rsid w:val="00CA0990"/>
    <w:rsid w:val="00CA2080"/>
    <w:rsid w:val="00CA24F4"/>
    <w:rsid w:val="00CA46B2"/>
    <w:rsid w:val="00CA4A9F"/>
    <w:rsid w:val="00CA539F"/>
    <w:rsid w:val="00CC59E2"/>
    <w:rsid w:val="00CD6A62"/>
    <w:rsid w:val="00CE56F3"/>
    <w:rsid w:val="00CE5B83"/>
    <w:rsid w:val="00CF28BB"/>
    <w:rsid w:val="00CF4056"/>
    <w:rsid w:val="00CF45B0"/>
    <w:rsid w:val="00D05453"/>
    <w:rsid w:val="00D06BD2"/>
    <w:rsid w:val="00D10BE4"/>
    <w:rsid w:val="00D1261F"/>
    <w:rsid w:val="00D137D6"/>
    <w:rsid w:val="00D22001"/>
    <w:rsid w:val="00D22F54"/>
    <w:rsid w:val="00D237EC"/>
    <w:rsid w:val="00D24E91"/>
    <w:rsid w:val="00D34430"/>
    <w:rsid w:val="00D36236"/>
    <w:rsid w:val="00D372C9"/>
    <w:rsid w:val="00D410CC"/>
    <w:rsid w:val="00D50A5C"/>
    <w:rsid w:val="00D542FD"/>
    <w:rsid w:val="00D5562B"/>
    <w:rsid w:val="00D56147"/>
    <w:rsid w:val="00D60A31"/>
    <w:rsid w:val="00D636F9"/>
    <w:rsid w:val="00D720B6"/>
    <w:rsid w:val="00D72F2E"/>
    <w:rsid w:val="00D73150"/>
    <w:rsid w:val="00D776A5"/>
    <w:rsid w:val="00D77A74"/>
    <w:rsid w:val="00D871C8"/>
    <w:rsid w:val="00D91524"/>
    <w:rsid w:val="00DA6BBA"/>
    <w:rsid w:val="00DA73A1"/>
    <w:rsid w:val="00DA7A77"/>
    <w:rsid w:val="00DB7125"/>
    <w:rsid w:val="00DD548B"/>
    <w:rsid w:val="00DD5B70"/>
    <w:rsid w:val="00DE0DD2"/>
    <w:rsid w:val="00DE58E8"/>
    <w:rsid w:val="00DE7079"/>
    <w:rsid w:val="00DE7A6C"/>
    <w:rsid w:val="00DF2025"/>
    <w:rsid w:val="00DF4718"/>
    <w:rsid w:val="00DF5A41"/>
    <w:rsid w:val="00E00BA1"/>
    <w:rsid w:val="00E02640"/>
    <w:rsid w:val="00E02A64"/>
    <w:rsid w:val="00E10BAA"/>
    <w:rsid w:val="00E11FB8"/>
    <w:rsid w:val="00E149D9"/>
    <w:rsid w:val="00E14D2C"/>
    <w:rsid w:val="00E14F82"/>
    <w:rsid w:val="00E20903"/>
    <w:rsid w:val="00E21095"/>
    <w:rsid w:val="00E23B7B"/>
    <w:rsid w:val="00E2608A"/>
    <w:rsid w:val="00E3222F"/>
    <w:rsid w:val="00E3685D"/>
    <w:rsid w:val="00E4774C"/>
    <w:rsid w:val="00E477C7"/>
    <w:rsid w:val="00E53257"/>
    <w:rsid w:val="00E545E1"/>
    <w:rsid w:val="00E54BFD"/>
    <w:rsid w:val="00E55948"/>
    <w:rsid w:val="00E570A6"/>
    <w:rsid w:val="00E60E4F"/>
    <w:rsid w:val="00E63059"/>
    <w:rsid w:val="00E64A99"/>
    <w:rsid w:val="00E83551"/>
    <w:rsid w:val="00E83865"/>
    <w:rsid w:val="00E8599D"/>
    <w:rsid w:val="00E92432"/>
    <w:rsid w:val="00EA3A68"/>
    <w:rsid w:val="00EB03CD"/>
    <w:rsid w:val="00EB12A2"/>
    <w:rsid w:val="00EB2C6A"/>
    <w:rsid w:val="00EC6752"/>
    <w:rsid w:val="00ED4BA2"/>
    <w:rsid w:val="00EE0219"/>
    <w:rsid w:val="00EE03AE"/>
    <w:rsid w:val="00EE264F"/>
    <w:rsid w:val="00EF22EF"/>
    <w:rsid w:val="00EF35EB"/>
    <w:rsid w:val="00F00526"/>
    <w:rsid w:val="00F006B4"/>
    <w:rsid w:val="00F025A8"/>
    <w:rsid w:val="00F10775"/>
    <w:rsid w:val="00F216AE"/>
    <w:rsid w:val="00F2250C"/>
    <w:rsid w:val="00F22C93"/>
    <w:rsid w:val="00F22CBD"/>
    <w:rsid w:val="00F246BC"/>
    <w:rsid w:val="00F26506"/>
    <w:rsid w:val="00F32A98"/>
    <w:rsid w:val="00F35CE0"/>
    <w:rsid w:val="00F3630F"/>
    <w:rsid w:val="00F41D68"/>
    <w:rsid w:val="00F44879"/>
    <w:rsid w:val="00F453AB"/>
    <w:rsid w:val="00F4780E"/>
    <w:rsid w:val="00F5794A"/>
    <w:rsid w:val="00F60477"/>
    <w:rsid w:val="00F60A91"/>
    <w:rsid w:val="00F618D6"/>
    <w:rsid w:val="00F67DCF"/>
    <w:rsid w:val="00F74DFD"/>
    <w:rsid w:val="00F75F80"/>
    <w:rsid w:val="00F806B2"/>
    <w:rsid w:val="00F81BDB"/>
    <w:rsid w:val="00F873EF"/>
    <w:rsid w:val="00FA18FF"/>
    <w:rsid w:val="00FB398D"/>
    <w:rsid w:val="00FC0FCB"/>
    <w:rsid w:val="00FC165D"/>
    <w:rsid w:val="00FC31A7"/>
    <w:rsid w:val="00FD0FF0"/>
    <w:rsid w:val="00FE1D03"/>
    <w:rsid w:val="00FE2390"/>
    <w:rsid w:val="00FE2826"/>
    <w:rsid w:val="00FE40DC"/>
    <w:rsid w:val="00FE4A8B"/>
    <w:rsid w:val="00FE4C19"/>
    <w:rsid w:val="00FE5CD7"/>
    <w:rsid w:val="00FF084C"/>
    <w:rsid w:val="00FF3DBE"/>
    <w:rsid w:val="00FF4671"/>
    <w:rsid w:val="00FF5BAD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B7B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23B7B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E23B7B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23B7B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E23B7B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E23B7B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E23B7B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E23B7B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E23B7B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E23B7B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23B7B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23B7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23B7B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E23B7B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E23B7B"/>
    <w:rPr>
      <w:noProof w:val="0"/>
      <w:snapToGrid w:val="0"/>
    </w:rPr>
  </w:style>
  <w:style w:type="paragraph" w:styleId="BlockText">
    <w:name w:val="Block Text"/>
    <w:basedOn w:val="Normal"/>
    <w:semiHidden/>
    <w:rsid w:val="00E23B7B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E23B7B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E23B7B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E23B7B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E23B7B"/>
  </w:style>
  <w:style w:type="character" w:styleId="EndnoteReference">
    <w:name w:val="endnote reference"/>
    <w:basedOn w:val="DefaultParagraphFont"/>
    <w:semiHidden/>
    <w:rsid w:val="00E23B7B"/>
    <w:rPr>
      <w:vertAlign w:val="superscript"/>
    </w:rPr>
  </w:style>
  <w:style w:type="paragraph" w:styleId="BodyTextIndent">
    <w:name w:val="Body Text Indent"/>
    <w:basedOn w:val="Normal"/>
    <w:semiHidden/>
    <w:rsid w:val="00E23B7B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E23B7B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23B7B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E23B7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E23B7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E23B7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E23B7B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E23B7B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E23B7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23B7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E23B7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E23B7B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E23B7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E23B7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E23B7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E23B7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E23B7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E23B7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E23B7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E23B7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E23B7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E23B7B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E23B7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23B7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E23B7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E23B7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E23B7B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E23B7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E23B7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E23B7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E23B7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E23B7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E23B7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E23B7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E23B7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E23B7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E23B7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E23B7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E23B7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E23B7B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F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F2F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E545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6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3340422853047762"/>
          <c:y val="6.1889250814332927E-2"/>
          <c:w val="0.83081422940213667"/>
          <c:h val="0.69381107491858618"/>
        </c:manualLayout>
      </c:layout>
      <c:lineChart>
        <c:grouping val="standard"/>
        <c:ser>
          <c:idx val="1"/>
          <c:order val="0"/>
          <c:spPr>
            <a:ln w="38004">
              <a:solidFill>
                <a:srgbClr val="3366FF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3366FF"/>
              </a:solidFill>
              <a:ln>
                <a:solidFill>
                  <a:srgbClr val="3366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3036096502697532E-2"/>
                  <c:y val="-5.8827868035482886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4.6857657552953513E-2"/>
                  <c:y val="5.4872254892189519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6.4285866480712051E-2"/>
                  <c:y val="-5.5316787933154372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4.4813512702056371E-2"/>
                  <c:y val="5.2929665437389896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7.3082294602473924E-2"/>
                  <c:y val="-6.1476461011994048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6.3450232927526565E-2"/>
                  <c:y val="-4.9199973421044131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7.5958198952068498E-2"/>
                  <c:y val="4.7308216219808366E-2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3.7382495084793514E-2"/>
                  <c:y val="-5.5530748529851452E-2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6.088425293701781E-2"/>
                  <c:y val="6.8756769327884881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5.4288675170216502E-2"/>
                  <c:y val="-4.6234758629854517E-2"/>
                </c:manualLayout>
              </c:layout>
              <c:dLblPos val="r"/>
              <c:showVal val="1"/>
            </c:dLbl>
            <c:dLbl>
              <c:idx val="10"/>
              <c:layout>
                <c:manualLayout>
                  <c:x val="-1.6866664729639474E-2"/>
                  <c:y val="-5.7984982889797143E-2"/>
                </c:manualLayout>
              </c:layout>
              <c:dLblPos val="r"/>
              <c:showVal val="1"/>
            </c:dLbl>
            <c:dLbl>
              <c:idx val="11"/>
              <c:layout>
                <c:manualLayout>
                  <c:x val="-2.8281178874781019E-2"/>
                  <c:y val="4.659656466992259E-2"/>
                </c:manualLayout>
              </c:layout>
              <c:dLblPos val="r"/>
              <c:showVal val="1"/>
            </c:dLbl>
            <c:spPr>
              <a:noFill/>
              <a:ln w="25336">
                <a:noFill/>
              </a:ln>
            </c:spPr>
            <c:showVal val="1"/>
          </c:dLbls>
          <c:cat>
            <c:strRef>
              <c:f>Sheet1!$B$1:$M$1</c:f>
              <c:strCache>
                <c:ptCount val="12"/>
                <c:pt idx="0">
                  <c:v>كانون الثاني Jan</c:v>
                </c:pt>
                <c:pt idx="1">
                  <c:v>شباط Feb</c:v>
                </c:pt>
                <c:pt idx="2">
                  <c:v>آذار Mar</c:v>
                </c:pt>
                <c:pt idx="3">
                  <c:v>نيسان Apr</c:v>
                </c:pt>
                <c:pt idx="4">
                  <c:v>أيار May</c:v>
                </c:pt>
                <c:pt idx="5">
                  <c:v>حزيران Jun</c:v>
                </c:pt>
                <c:pt idx="6">
                  <c:v>تموز Jul</c:v>
                </c:pt>
                <c:pt idx="7">
                  <c:v>آب Aug</c:v>
                </c:pt>
                <c:pt idx="8">
                  <c:v>أيلول Sep</c:v>
                </c:pt>
                <c:pt idx="9">
                  <c:v>تشرين أول Oct</c:v>
                </c:pt>
                <c:pt idx="10">
                  <c:v>تشرين ثاني Nov</c:v>
                </c:pt>
                <c:pt idx="11">
                  <c:v>كانون أول Dec</c:v>
                </c:pt>
              </c:strCache>
            </c:strRef>
          </c:cat>
          <c:val>
            <c:numRef>
              <c:f>Sheet1!$B$2:$M$2</c:f>
              <c:numCache>
                <c:formatCode>0.00</c:formatCode>
                <c:ptCount val="12"/>
                <c:pt idx="0">
                  <c:v>113.06111209739076</c:v>
                </c:pt>
                <c:pt idx="1">
                  <c:v>112.9190999820093</c:v>
                </c:pt>
                <c:pt idx="2">
                  <c:v>113.68395302488128</c:v>
                </c:pt>
                <c:pt idx="3">
                  <c:v>113.86079453344205</c:v>
                </c:pt>
                <c:pt idx="4">
                  <c:v>114.24054447464263</c:v>
                </c:pt>
                <c:pt idx="5">
                  <c:v>114.781679197619</c:v>
                </c:pt>
                <c:pt idx="6">
                  <c:v>114.63064109667619</c:v>
                </c:pt>
                <c:pt idx="7">
                  <c:v>114.20540888850613</c:v>
                </c:pt>
                <c:pt idx="8">
                  <c:v>113.86058319748057</c:v>
                </c:pt>
                <c:pt idx="9">
                  <c:v>115.11915443225067</c:v>
                </c:pt>
                <c:pt idx="10">
                  <c:v>114.28661013283318</c:v>
                </c:pt>
                <c:pt idx="11">
                  <c:v>113.59367768959977</c:v>
                </c:pt>
              </c:numCache>
            </c:numRef>
          </c:val>
          <c:smooth val="1"/>
        </c:ser>
        <c:marker val="1"/>
        <c:axId val="99954048"/>
        <c:axId val="99980800"/>
      </c:lineChart>
      <c:catAx>
        <c:axId val="999540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الشهر  </a:t>
                </a:r>
                <a:r>
                  <a:rPr lang="en-US" b="1"/>
                  <a:t>Month</a:t>
                </a:r>
              </a:p>
            </c:rich>
          </c:tx>
          <c:layout>
            <c:manualLayout>
              <c:xMode val="edge"/>
              <c:yMode val="edge"/>
              <c:x val="0.41996233521657766"/>
              <c:y val="0.92833876221498368"/>
            </c:manualLayout>
          </c:layout>
          <c:spPr>
            <a:noFill/>
            <a:ln w="25336">
              <a:noFill/>
            </a:ln>
          </c:spPr>
        </c:title>
        <c:numFmt formatCode="General" sourceLinked="1"/>
        <c:tickLblPos val="nextTo"/>
        <c:spPr>
          <a:ln w="3167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/>
            </a:pPr>
            <a:endParaRPr lang="ar-SA"/>
          </a:p>
        </c:txPr>
        <c:crossAx val="99980800"/>
        <c:crosses val="autoZero"/>
        <c:auto val="1"/>
        <c:lblAlgn val="ctr"/>
        <c:lblOffset val="100"/>
        <c:tickLblSkip val="1"/>
        <c:tickMarkSkip val="1"/>
      </c:catAx>
      <c:valAx>
        <c:axId val="99980800"/>
        <c:scaling>
          <c:orientation val="minMax"/>
          <c:max val="116"/>
          <c:min val="112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الرقم القياسي للأسعار  </a:t>
                </a:r>
                <a:r>
                  <a:rPr lang="en-US" b="1"/>
                  <a:t>Price Index Number</a:t>
                </a:r>
              </a:p>
            </c:rich>
          </c:tx>
          <c:layout>
            <c:manualLayout>
              <c:xMode val="edge"/>
              <c:yMode val="edge"/>
              <c:x val="1.2300123001230092E-2"/>
              <c:y val="0.1014306123127014"/>
            </c:manualLayout>
          </c:layout>
          <c:spPr>
            <a:noFill/>
            <a:ln w="25336">
              <a:noFill/>
            </a:ln>
          </c:spPr>
        </c:title>
        <c:numFmt formatCode="0.00" sourceLinked="1"/>
        <c:tickLblPos val="nextTo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99954048"/>
        <c:crosses val="autoZero"/>
        <c:crossBetween val="between"/>
        <c:majorUnit val="0.5"/>
        <c:minorUnit val="0.5"/>
      </c:valAx>
      <c:spPr>
        <a:noFill/>
        <a:ln w="25336">
          <a:noFill/>
        </a:ln>
      </c:spPr>
    </c:plotArea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8AB1C-D28E-4A17-8B71-31D6762B8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6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subject/>
  <dc:creator>Population Census</dc:creator>
  <cp:keywords/>
  <dc:description/>
  <cp:lastModifiedBy>yashqar</cp:lastModifiedBy>
  <cp:revision>56</cp:revision>
  <cp:lastPrinted>2015-06-09T05:44:00Z</cp:lastPrinted>
  <dcterms:created xsi:type="dcterms:W3CDTF">2013-05-22T06:23:00Z</dcterms:created>
  <dcterms:modified xsi:type="dcterms:W3CDTF">2016-06-16T07:43:00Z</dcterms:modified>
</cp:coreProperties>
</file>